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7A611"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w:t>
      </w:r>
      <w:r w:rsidR="00123B74" w:rsidRPr="00123B74">
        <w:t>NRLG010</w:t>
      </w:r>
      <w:r w:rsidR="0052235C">
        <w:t>7</w:t>
      </w:r>
    </w:p>
    <w:p w14:paraId="31DAB5F7" w14:textId="7D5D67FE" w:rsidR="00E6385A" w:rsidRPr="00500C4E" w:rsidRDefault="00E6385A" w:rsidP="00F117C6">
      <w:pPr>
        <w:pStyle w:val="WPnumber"/>
      </w:pPr>
      <w:r>
        <w:tab/>
      </w:r>
      <w:r w:rsidR="000E19CA">
        <w:rPr>
          <w:rStyle w:val="CaptionChar"/>
          <w:b/>
          <w:bCs w:val="0"/>
        </w:rPr>
        <w:t xml:space="preserve">Revision </w:t>
      </w:r>
      <w:r w:rsidR="0052235C">
        <w:rPr>
          <w:rStyle w:val="CaptionChar"/>
          <w:b/>
          <w:bCs w:val="0"/>
        </w:rPr>
        <w:t>0</w:t>
      </w:r>
      <w:r w:rsidR="00EB3E07">
        <w:rPr>
          <w:rStyle w:val="CaptionChar"/>
          <w:b/>
          <w:bCs w:val="0"/>
        </w:rPr>
        <w:t>.1</w:t>
      </w:r>
    </w:p>
    <w:bookmarkEnd w:id="0"/>
    <w:p w14:paraId="2E838BC4" w14:textId="77777777" w:rsidR="00F117C6" w:rsidRPr="00500C4E" w:rsidRDefault="00F117C6" w:rsidP="00F117C6">
      <w:pPr>
        <w:jc w:val="right"/>
        <w:rPr>
          <w:rFonts w:cstheme="minorHAnsi"/>
          <w:b/>
          <w:sz w:val="48"/>
          <w:szCs w:val="48"/>
        </w:rPr>
      </w:pPr>
    </w:p>
    <w:p w14:paraId="0795992D"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12204F4" w14:textId="77777777" w:rsidR="00E6385A" w:rsidRPr="00E6385A" w:rsidRDefault="00E6385A" w:rsidP="00E6385A">
      <w:pPr>
        <w:rPr>
          <w:rFonts w:cstheme="minorHAnsi"/>
          <w:b/>
          <w:sz w:val="32"/>
        </w:rPr>
      </w:pPr>
      <w:r w:rsidRPr="00E6385A">
        <w:rPr>
          <w:rFonts w:cstheme="minorHAnsi"/>
          <w:b/>
          <w:sz w:val="32"/>
        </w:rPr>
        <w:t>Energy Efficiency Engineering</w:t>
      </w:r>
    </w:p>
    <w:p w14:paraId="6124C18E" w14:textId="77777777" w:rsidR="00F117C6" w:rsidRPr="00500C4E" w:rsidRDefault="00F117C6" w:rsidP="00F117C6">
      <w:pPr>
        <w:rPr>
          <w:rFonts w:cstheme="minorHAnsi"/>
        </w:rPr>
      </w:pPr>
    </w:p>
    <w:p w14:paraId="5A225846" w14:textId="77777777" w:rsidR="00F117C6" w:rsidRPr="00500C4E" w:rsidRDefault="00F117C6" w:rsidP="00F117C6">
      <w:pPr>
        <w:tabs>
          <w:tab w:val="left" w:pos="8190"/>
        </w:tabs>
        <w:rPr>
          <w:rFonts w:cstheme="minorHAnsi"/>
        </w:rPr>
      </w:pPr>
      <w:r w:rsidRPr="00500C4E">
        <w:rPr>
          <w:rFonts w:cstheme="minorHAnsi"/>
        </w:rPr>
        <w:tab/>
      </w:r>
    </w:p>
    <w:p w14:paraId="72A160A6" w14:textId="77777777" w:rsidR="00F117C6" w:rsidRPr="00500C4E" w:rsidRDefault="00F117C6" w:rsidP="00F117C6">
      <w:pPr>
        <w:rPr>
          <w:rFonts w:cstheme="minorHAnsi"/>
        </w:rPr>
      </w:pPr>
    </w:p>
    <w:p w14:paraId="3405BDBC" w14:textId="77777777" w:rsidR="00F117C6" w:rsidRPr="00500C4E" w:rsidRDefault="00F117C6" w:rsidP="00F117C6">
      <w:pPr>
        <w:rPr>
          <w:rFonts w:cstheme="minorHAnsi"/>
        </w:rPr>
      </w:pPr>
    </w:p>
    <w:p w14:paraId="5B4CB1D5" w14:textId="77777777" w:rsidR="00F117C6" w:rsidRPr="00500C4E" w:rsidRDefault="00F117C6" w:rsidP="00F117C6">
      <w:pPr>
        <w:rPr>
          <w:rFonts w:cstheme="minorHAnsi"/>
        </w:rPr>
      </w:pPr>
    </w:p>
    <w:p w14:paraId="284F1EBC" w14:textId="77777777" w:rsidR="00F117C6" w:rsidRPr="00500C4E" w:rsidRDefault="00F117C6" w:rsidP="00F117C6">
      <w:pPr>
        <w:rPr>
          <w:rFonts w:cstheme="minorHAnsi"/>
        </w:rPr>
      </w:pPr>
    </w:p>
    <w:p w14:paraId="7E5ACA6A" w14:textId="77777777" w:rsidR="00F117C6" w:rsidRPr="00500C4E" w:rsidRDefault="00F117C6" w:rsidP="00F117C6">
      <w:pPr>
        <w:rPr>
          <w:rFonts w:cstheme="minorHAnsi"/>
        </w:rPr>
      </w:pPr>
    </w:p>
    <w:p w14:paraId="7C144694" w14:textId="77777777" w:rsidR="000E19CA" w:rsidRPr="00915C00" w:rsidRDefault="00915C00" w:rsidP="00884B9C">
      <w:pPr>
        <w:rPr>
          <w:rFonts w:cstheme="minorHAnsi"/>
          <w:b/>
          <w:sz w:val="72"/>
          <w:szCs w:val="72"/>
        </w:rPr>
      </w:pPr>
      <w:r w:rsidRPr="00915C00">
        <w:rPr>
          <w:b/>
          <w:sz w:val="72"/>
          <w:szCs w:val="72"/>
        </w:rPr>
        <w:t xml:space="preserve">LED </w:t>
      </w:r>
      <w:r w:rsidR="0052235C" w:rsidRPr="00915C00">
        <w:rPr>
          <w:b/>
          <w:sz w:val="72"/>
          <w:szCs w:val="72"/>
        </w:rPr>
        <w:t xml:space="preserve">Recessed </w:t>
      </w:r>
      <w:r w:rsidRPr="00915C00">
        <w:rPr>
          <w:b/>
          <w:sz w:val="72"/>
          <w:szCs w:val="72"/>
        </w:rPr>
        <w:t>Down</w:t>
      </w:r>
      <w:r>
        <w:rPr>
          <w:b/>
          <w:sz w:val="72"/>
          <w:szCs w:val="72"/>
        </w:rPr>
        <w:t>l</w:t>
      </w:r>
      <w:r w:rsidRPr="00915C00">
        <w:rPr>
          <w:b/>
          <w:sz w:val="72"/>
          <w:szCs w:val="72"/>
        </w:rPr>
        <w:t>ight</w:t>
      </w:r>
      <w:r w:rsidR="0052235C" w:rsidRPr="00915C00">
        <w:rPr>
          <w:b/>
          <w:sz w:val="72"/>
          <w:szCs w:val="72"/>
        </w:rPr>
        <w:t xml:space="preserve"> Retrofit Kit</w:t>
      </w:r>
    </w:p>
    <w:p w14:paraId="30E4A88F" w14:textId="77777777" w:rsidR="000E19CA" w:rsidRDefault="000E19CA" w:rsidP="000E19CA">
      <w:pPr>
        <w:jc w:val="right"/>
        <w:rPr>
          <w:rFonts w:cstheme="minorHAnsi"/>
          <w:b/>
          <w:sz w:val="28"/>
          <w:szCs w:val="28"/>
        </w:rPr>
      </w:pPr>
    </w:p>
    <w:p w14:paraId="4F23351D" w14:textId="77777777" w:rsidR="000E19CA" w:rsidRDefault="000E19CA" w:rsidP="000E19CA">
      <w:pPr>
        <w:jc w:val="right"/>
        <w:rPr>
          <w:rFonts w:cstheme="minorHAnsi"/>
          <w:b/>
          <w:sz w:val="28"/>
          <w:szCs w:val="28"/>
        </w:rPr>
      </w:pPr>
    </w:p>
    <w:p w14:paraId="14B97819" w14:textId="77777777" w:rsidR="000E19CA" w:rsidRDefault="000E19CA" w:rsidP="000E19CA">
      <w:pPr>
        <w:jc w:val="right"/>
        <w:rPr>
          <w:rFonts w:cstheme="minorHAnsi"/>
          <w:b/>
          <w:sz w:val="28"/>
          <w:szCs w:val="28"/>
        </w:rPr>
      </w:pPr>
    </w:p>
    <w:p w14:paraId="2A411367" w14:textId="77777777" w:rsidR="000E19CA" w:rsidRDefault="000E19CA" w:rsidP="000E19CA">
      <w:pPr>
        <w:jc w:val="right"/>
        <w:rPr>
          <w:rFonts w:cstheme="minorHAnsi"/>
          <w:b/>
          <w:sz w:val="28"/>
          <w:szCs w:val="28"/>
        </w:rPr>
      </w:pPr>
    </w:p>
    <w:p w14:paraId="1D92125D" w14:textId="77777777" w:rsidR="000E19CA" w:rsidRDefault="000E19CA" w:rsidP="000E19CA">
      <w:pPr>
        <w:jc w:val="right"/>
        <w:rPr>
          <w:rFonts w:cstheme="minorHAnsi"/>
          <w:b/>
          <w:sz w:val="28"/>
          <w:szCs w:val="28"/>
        </w:rPr>
      </w:pPr>
    </w:p>
    <w:p w14:paraId="07D73941" w14:textId="77777777" w:rsidR="000E19CA" w:rsidRDefault="000E19CA" w:rsidP="000E19CA">
      <w:pPr>
        <w:jc w:val="right"/>
        <w:rPr>
          <w:rFonts w:cstheme="minorHAnsi"/>
          <w:b/>
          <w:sz w:val="28"/>
          <w:szCs w:val="28"/>
        </w:rPr>
      </w:pPr>
    </w:p>
    <w:p w14:paraId="66BC2051" w14:textId="77777777" w:rsidR="000E19CA" w:rsidRDefault="000E19CA" w:rsidP="000E19CA">
      <w:pPr>
        <w:jc w:val="right"/>
        <w:rPr>
          <w:rFonts w:cstheme="minorHAnsi"/>
          <w:b/>
          <w:sz w:val="28"/>
          <w:szCs w:val="28"/>
        </w:rPr>
      </w:pPr>
    </w:p>
    <w:p w14:paraId="5A30BBFC" w14:textId="77777777" w:rsidR="000E19CA" w:rsidRDefault="000E19CA" w:rsidP="000E19CA">
      <w:pPr>
        <w:jc w:val="right"/>
        <w:rPr>
          <w:rFonts w:cstheme="minorHAnsi"/>
          <w:b/>
          <w:sz w:val="28"/>
          <w:szCs w:val="28"/>
        </w:rPr>
      </w:pPr>
    </w:p>
    <w:p w14:paraId="1AA8965B" w14:textId="77777777" w:rsidR="000E19CA" w:rsidRDefault="000E19CA" w:rsidP="000E19CA">
      <w:pPr>
        <w:jc w:val="right"/>
        <w:rPr>
          <w:rFonts w:cstheme="minorHAnsi"/>
          <w:b/>
          <w:sz w:val="28"/>
          <w:szCs w:val="28"/>
        </w:rPr>
      </w:pPr>
    </w:p>
    <w:p w14:paraId="509CD270" w14:textId="77777777" w:rsidR="000E19CA" w:rsidRDefault="000E19CA" w:rsidP="000E19CA">
      <w:pPr>
        <w:jc w:val="right"/>
        <w:rPr>
          <w:rFonts w:cstheme="minorHAnsi"/>
          <w:b/>
          <w:sz w:val="28"/>
          <w:szCs w:val="28"/>
        </w:rPr>
      </w:pPr>
    </w:p>
    <w:p w14:paraId="2B41E110" w14:textId="77777777" w:rsidR="000E19CA" w:rsidRDefault="000E19CA" w:rsidP="000E19CA">
      <w:pPr>
        <w:jc w:val="right"/>
        <w:rPr>
          <w:rFonts w:cstheme="minorHAnsi"/>
          <w:b/>
          <w:sz w:val="28"/>
          <w:szCs w:val="28"/>
        </w:rPr>
      </w:pPr>
    </w:p>
    <w:p w14:paraId="1963FC81" w14:textId="77777777" w:rsidR="000E19CA" w:rsidRDefault="000E19CA" w:rsidP="000E19CA">
      <w:pPr>
        <w:jc w:val="right"/>
        <w:rPr>
          <w:rFonts w:cstheme="minorHAnsi"/>
          <w:b/>
          <w:sz w:val="28"/>
          <w:szCs w:val="28"/>
        </w:rPr>
      </w:pPr>
    </w:p>
    <w:p w14:paraId="2BDAA49A" w14:textId="77777777" w:rsidR="000E19CA" w:rsidRDefault="000E19CA" w:rsidP="000E19CA">
      <w:pPr>
        <w:jc w:val="right"/>
        <w:rPr>
          <w:rFonts w:cstheme="minorHAnsi"/>
          <w:b/>
          <w:sz w:val="28"/>
          <w:szCs w:val="28"/>
        </w:rPr>
      </w:pPr>
    </w:p>
    <w:p w14:paraId="7DE96336" w14:textId="77777777" w:rsidR="000E19CA" w:rsidRDefault="000E19CA" w:rsidP="000E19CA">
      <w:pPr>
        <w:jc w:val="right"/>
        <w:rPr>
          <w:rFonts w:cstheme="minorHAnsi"/>
          <w:b/>
          <w:sz w:val="28"/>
          <w:szCs w:val="28"/>
        </w:rPr>
      </w:pPr>
    </w:p>
    <w:p w14:paraId="7D900274" w14:textId="77777777" w:rsidR="000E19CA" w:rsidRDefault="000E19CA" w:rsidP="000E19CA">
      <w:pPr>
        <w:jc w:val="right"/>
        <w:rPr>
          <w:rFonts w:cstheme="minorHAnsi"/>
          <w:b/>
          <w:sz w:val="28"/>
          <w:szCs w:val="28"/>
        </w:rPr>
      </w:pPr>
    </w:p>
    <w:p w14:paraId="18BB1574" w14:textId="77777777" w:rsidR="00E372B8" w:rsidRDefault="00E372B8" w:rsidP="000E19CA">
      <w:pPr>
        <w:jc w:val="right"/>
        <w:rPr>
          <w:rFonts w:cstheme="minorHAnsi"/>
          <w:b/>
          <w:sz w:val="28"/>
          <w:szCs w:val="28"/>
        </w:rPr>
      </w:pPr>
    </w:p>
    <w:p w14:paraId="5C32B99D" w14:textId="5F5E1E0F" w:rsidR="00E372B8" w:rsidRDefault="00EB3E07" w:rsidP="00241A1F">
      <w:pPr>
        <w:jc w:val="right"/>
        <w:rPr>
          <w:rFonts w:cstheme="minorHAnsi"/>
          <w:b/>
          <w:sz w:val="28"/>
          <w:szCs w:val="28"/>
        </w:rPr>
      </w:pPr>
      <w:r>
        <w:rPr>
          <w:rFonts w:cstheme="minorHAnsi"/>
          <w:b/>
          <w:sz w:val="28"/>
          <w:szCs w:val="28"/>
        </w:rPr>
        <w:t>May 15</w:t>
      </w:r>
      <w:r w:rsidR="000158AB">
        <w:rPr>
          <w:rFonts w:cstheme="minorHAnsi"/>
          <w:b/>
          <w:sz w:val="28"/>
          <w:szCs w:val="28"/>
        </w:rPr>
        <w:t>, 201</w:t>
      </w:r>
      <w:r w:rsidR="009D7191">
        <w:rPr>
          <w:rFonts w:cstheme="minorHAnsi"/>
          <w:b/>
          <w:sz w:val="28"/>
          <w:szCs w:val="28"/>
        </w:rPr>
        <w:t>8</w:t>
      </w:r>
    </w:p>
    <w:p w14:paraId="210797E6"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3B5B208E" w14:textId="77777777" w:rsidR="00FE520B" w:rsidRDefault="0059117D" w:rsidP="00FE520B">
      <w:pPr>
        <w:pStyle w:val="Heading1"/>
      </w:pPr>
      <w:r>
        <w:lastRenderedPageBreak/>
        <w:t xml:space="preserve">SDG&amp;E </w:t>
      </w:r>
      <w:r w:rsidR="00915C00">
        <w:t xml:space="preserve">Recessed </w:t>
      </w:r>
      <w:r w:rsidR="000550D5">
        <w:t>Downlight</w:t>
      </w:r>
      <w:r w:rsidR="00915C00">
        <w:t xml:space="preserve"> Retrofit Kit</w:t>
      </w:r>
    </w:p>
    <w:p w14:paraId="31FCC4CC" w14:textId="77777777" w:rsidR="00413EF4" w:rsidRDefault="00413EF4" w:rsidP="00413EF4">
      <w:pPr>
        <w:pStyle w:val="Heading2"/>
      </w:pPr>
      <w:r>
        <w:t>Introduction</w:t>
      </w:r>
    </w:p>
    <w:p w14:paraId="49169E73" w14:textId="6FDEA0C1" w:rsidR="00320E0B" w:rsidRDefault="003B18D4" w:rsidP="003B18D4">
      <w:pPr>
        <w:jc w:val="both"/>
        <w:rPr>
          <w:szCs w:val="22"/>
        </w:rPr>
      </w:pPr>
      <w:r w:rsidRPr="003B18D4">
        <w:rPr>
          <w:szCs w:val="22"/>
        </w:rPr>
        <w:t>This short form workpaper (WP) documents the updates addressing the M</w:t>
      </w:r>
      <w:r w:rsidR="00685FEB">
        <w:rPr>
          <w:szCs w:val="22"/>
        </w:rPr>
        <w:t>arch 1</w:t>
      </w:r>
      <w:r w:rsidRPr="003B18D4">
        <w:rPr>
          <w:szCs w:val="22"/>
        </w:rPr>
        <w:t>, 201</w:t>
      </w:r>
      <w:r w:rsidR="00685FEB">
        <w:rPr>
          <w:szCs w:val="22"/>
        </w:rPr>
        <w:t>8</w:t>
      </w:r>
      <w:r w:rsidRPr="003B18D4">
        <w:rPr>
          <w:szCs w:val="22"/>
        </w:rPr>
        <w:t xml:space="preserve"> screw-in </w:t>
      </w:r>
      <w:r w:rsidR="00685FEB">
        <w:rPr>
          <w:szCs w:val="22"/>
        </w:rPr>
        <w:t xml:space="preserve">lamp savings methods </w:t>
      </w:r>
      <w:r w:rsidRPr="003B18D4">
        <w:rPr>
          <w:szCs w:val="22"/>
        </w:rPr>
        <w:t>lighting disposition</w:t>
      </w:r>
      <w:r w:rsidR="00670CC5">
        <w:rPr>
          <w:szCs w:val="22"/>
        </w:rPr>
        <w:t xml:space="preserve"> issued by CPUC Energy Division</w:t>
      </w:r>
      <w:r w:rsidRPr="003B18D4">
        <w:rPr>
          <w:szCs w:val="22"/>
        </w:rPr>
        <w:t xml:space="preserve">.  The </w:t>
      </w:r>
      <w:r w:rsidR="00025A89">
        <w:rPr>
          <w:szCs w:val="22"/>
        </w:rPr>
        <w:t xml:space="preserve">submission </w:t>
      </w:r>
      <w:r w:rsidRPr="003B18D4">
        <w:rPr>
          <w:szCs w:val="22"/>
        </w:rPr>
        <w:t>include</w:t>
      </w:r>
      <w:r w:rsidR="00025A89">
        <w:rPr>
          <w:szCs w:val="22"/>
        </w:rPr>
        <w:t>s</w:t>
      </w:r>
      <w:r w:rsidRPr="003B18D4">
        <w:rPr>
          <w:szCs w:val="22"/>
        </w:rPr>
        <w:t xml:space="preserve"> creating new measure codes</w:t>
      </w:r>
      <w:r w:rsidR="00025A89">
        <w:rPr>
          <w:szCs w:val="22"/>
        </w:rPr>
        <w:t xml:space="preserve"> (Implementations IDs) </w:t>
      </w:r>
      <w:r w:rsidRPr="003B18D4">
        <w:rPr>
          <w:szCs w:val="22"/>
        </w:rPr>
        <w:t xml:space="preserve">that are based </w:t>
      </w:r>
      <w:r w:rsidR="006E41CF">
        <w:rPr>
          <w:szCs w:val="22"/>
        </w:rPr>
        <w:t xml:space="preserve">on </w:t>
      </w:r>
      <w:r w:rsidR="00025A89">
        <w:rPr>
          <w:szCs w:val="22"/>
        </w:rPr>
        <w:t xml:space="preserve">CPUC Energy Division guidance for LED reflectors baseline </w:t>
      </w:r>
      <w:r w:rsidR="00320E0B">
        <w:rPr>
          <w:szCs w:val="22"/>
        </w:rPr>
        <w:t xml:space="preserve">of 10% CFL, 40% LED and 50% incandescent. SDG&amp;E workpaper submission includes the following: </w:t>
      </w:r>
    </w:p>
    <w:p w14:paraId="03C9818A" w14:textId="77777777" w:rsidR="00B8452E" w:rsidRDefault="003B18D4" w:rsidP="003B18D4">
      <w:pPr>
        <w:jc w:val="both"/>
        <w:rPr>
          <w:szCs w:val="22"/>
        </w:rPr>
      </w:pPr>
      <w:r w:rsidRPr="003B18D4">
        <w:rPr>
          <w:szCs w:val="22"/>
        </w:rPr>
        <w:t xml:space="preserve"> </w:t>
      </w:r>
    </w:p>
    <w:p w14:paraId="647B43DA" w14:textId="77777777" w:rsidR="00B8452E" w:rsidRDefault="003B18D4" w:rsidP="00B8452E">
      <w:pPr>
        <w:pStyle w:val="ListParagraph"/>
        <w:numPr>
          <w:ilvl w:val="0"/>
          <w:numId w:val="18"/>
        </w:numPr>
        <w:jc w:val="both"/>
        <w:rPr>
          <w:szCs w:val="22"/>
        </w:rPr>
      </w:pPr>
      <w:r w:rsidRPr="00B8452E">
        <w:rPr>
          <w:szCs w:val="22"/>
        </w:rPr>
        <w:t xml:space="preserve">SDG&amp;E adopts </w:t>
      </w:r>
      <w:r w:rsidR="008A5E4C" w:rsidRPr="00B8452E">
        <w:rPr>
          <w:szCs w:val="22"/>
        </w:rPr>
        <w:t xml:space="preserve">all </w:t>
      </w:r>
      <w:r w:rsidR="00AC0A50" w:rsidRPr="00B8452E">
        <w:rPr>
          <w:szCs w:val="22"/>
        </w:rPr>
        <w:t xml:space="preserve">savings </w:t>
      </w:r>
      <w:r w:rsidR="008A5E4C" w:rsidRPr="00B8452E">
        <w:rPr>
          <w:szCs w:val="22"/>
        </w:rPr>
        <w:t>impact</w:t>
      </w:r>
      <w:r w:rsidR="00AC0A50" w:rsidRPr="00B8452E">
        <w:rPr>
          <w:szCs w:val="22"/>
        </w:rPr>
        <w:t>s</w:t>
      </w:r>
      <w:r w:rsidR="008A5E4C" w:rsidRPr="00B8452E">
        <w:rPr>
          <w:szCs w:val="22"/>
        </w:rPr>
        <w:t xml:space="preserve"> </w:t>
      </w:r>
      <w:r w:rsidR="00AC0A50" w:rsidRPr="00B8452E">
        <w:rPr>
          <w:szCs w:val="22"/>
        </w:rPr>
        <w:t xml:space="preserve">and measure IDs from PEAR database with start dates of 07/01/2018. </w:t>
      </w:r>
    </w:p>
    <w:p w14:paraId="67E6EF4A" w14:textId="77777777" w:rsidR="006836D4" w:rsidRDefault="00E64D74" w:rsidP="00916657">
      <w:pPr>
        <w:pStyle w:val="ListParagraph"/>
        <w:numPr>
          <w:ilvl w:val="0"/>
          <w:numId w:val="18"/>
        </w:numPr>
        <w:jc w:val="both"/>
        <w:rPr>
          <w:szCs w:val="22"/>
        </w:rPr>
      </w:pPr>
      <w:r w:rsidRPr="006836D4">
        <w:rPr>
          <w:szCs w:val="22"/>
        </w:rPr>
        <w:t xml:space="preserve">SDG&amp;E adopts all </w:t>
      </w:r>
      <w:r w:rsidR="002101B6" w:rsidRPr="006836D4">
        <w:rPr>
          <w:szCs w:val="22"/>
        </w:rPr>
        <w:t xml:space="preserve">PAR30 </w:t>
      </w:r>
      <w:r w:rsidRPr="006836D4">
        <w:rPr>
          <w:szCs w:val="22"/>
        </w:rPr>
        <w:t xml:space="preserve">baseline line cost data </w:t>
      </w:r>
      <w:r w:rsidR="002101B6" w:rsidRPr="006836D4">
        <w:rPr>
          <w:szCs w:val="22"/>
        </w:rPr>
        <w:t xml:space="preserve">from PG&amp;E workpaper PGECOLTG141 Rev9 LED PAR Lamp. </w:t>
      </w:r>
    </w:p>
    <w:p w14:paraId="1CADFD80" w14:textId="79D426D2" w:rsidR="004B2B21" w:rsidRPr="004B2B21" w:rsidRDefault="004B2B21" w:rsidP="004B2B21">
      <w:pPr>
        <w:pStyle w:val="ListParagraph"/>
        <w:numPr>
          <w:ilvl w:val="0"/>
          <w:numId w:val="18"/>
        </w:numPr>
        <w:jc w:val="both"/>
        <w:rPr>
          <w:szCs w:val="22"/>
        </w:rPr>
      </w:pPr>
      <w:r>
        <w:rPr>
          <w:szCs w:val="22"/>
        </w:rPr>
        <w:t xml:space="preserve">Measure costs were referenced from </w:t>
      </w:r>
      <w:r w:rsidR="006836D4" w:rsidRPr="006836D4">
        <w:rPr>
          <w:szCs w:val="22"/>
        </w:rPr>
        <w:t>PG&amp;E</w:t>
      </w:r>
      <w:r>
        <w:rPr>
          <w:szCs w:val="22"/>
        </w:rPr>
        <w:t>’s draft cost data workbook “</w:t>
      </w:r>
      <w:proofErr w:type="spellStart"/>
      <w:r w:rsidRPr="004B2B21">
        <w:rPr>
          <w:szCs w:val="22"/>
        </w:rPr>
        <w:t>Recesseddownlight</w:t>
      </w:r>
      <w:proofErr w:type="spellEnd"/>
      <w:r w:rsidRPr="004B2B21">
        <w:rPr>
          <w:szCs w:val="22"/>
        </w:rPr>
        <w:t>-led-</w:t>
      </w:r>
      <w:proofErr w:type="spellStart"/>
      <w:r w:rsidRPr="004B2B21">
        <w:rPr>
          <w:szCs w:val="22"/>
        </w:rPr>
        <w:t>lowes</w:t>
      </w:r>
      <w:proofErr w:type="spellEnd"/>
      <w:proofErr w:type="gramStart"/>
      <w:r w:rsidRPr="004B2B21">
        <w:rPr>
          <w:szCs w:val="22"/>
        </w:rPr>
        <w:t>_(</w:t>
      </w:r>
      <w:proofErr w:type="gramEnd"/>
      <w:r w:rsidRPr="004B2B21">
        <w:rPr>
          <w:szCs w:val="22"/>
        </w:rPr>
        <w:t>2).</w:t>
      </w:r>
      <w:proofErr w:type="spellStart"/>
      <w:r w:rsidRPr="004B2B21">
        <w:rPr>
          <w:szCs w:val="22"/>
        </w:rPr>
        <w:t>xls</w:t>
      </w:r>
      <w:proofErr w:type="spellEnd"/>
      <w:r w:rsidR="00987CFB">
        <w:rPr>
          <w:szCs w:val="22"/>
        </w:rPr>
        <w:t xml:space="preserve">”.  SDG&amp;E </w:t>
      </w:r>
      <w:r>
        <w:rPr>
          <w:szCs w:val="22"/>
        </w:rPr>
        <w:t>updated both the measure costs and the incremental measure costs to adhere to the 2018 Screw-In Lighting Disposition to follow the new baseline mix.</w:t>
      </w:r>
    </w:p>
    <w:p w14:paraId="70A7BCD1" w14:textId="77777777" w:rsidR="006836D4" w:rsidRPr="006836D4" w:rsidRDefault="006836D4" w:rsidP="006836D4">
      <w:pPr>
        <w:ind w:left="360"/>
        <w:jc w:val="both"/>
        <w:rPr>
          <w:b/>
          <w:szCs w:val="22"/>
        </w:rPr>
      </w:pPr>
    </w:p>
    <w:p w14:paraId="6E039A61"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2037ABE2" w14:textId="77777777" w:rsidTr="000550D5">
        <w:trPr>
          <w:trHeight w:val="20"/>
        </w:trPr>
        <w:tc>
          <w:tcPr>
            <w:tcW w:w="280" w:type="pct"/>
            <w:shd w:val="clear" w:color="auto" w:fill="D9D9D9" w:themeFill="background1" w:themeFillShade="D9"/>
          </w:tcPr>
          <w:p w14:paraId="1B467034" w14:textId="77777777" w:rsidR="00B57F32" w:rsidRPr="000E2B6B" w:rsidRDefault="00B57F32" w:rsidP="00670CC5">
            <w:pPr>
              <w:rPr>
                <w:rStyle w:val="Strong"/>
                <w:bCs w:val="0"/>
              </w:rPr>
            </w:pPr>
            <w:r w:rsidRPr="000E2B6B">
              <w:rPr>
                <w:rStyle w:val="Strong"/>
              </w:rPr>
              <w:t>Rev</w:t>
            </w:r>
          </w:p>
        </w:tc>
        <w:tc>
          <w:tcPr>
            <w:tcW w:w="682" w:type="pct"/>
            <w:shd w:val="clear" w:color="auto" w:fill="D9D9D9" w:themeFill="background1" w:themeFillShade="D9"/>
          </w:tcPr>
          <w:p w14:paraId="784B4331" w14:textId="77777777" w:rsidR="00B57F32" w:rsidRPr="000E2B6B" w:rsidRDefault="00B57F32" w:rsidP="00670CC5">
            <w:pPr>
              <w:rPr>
                <w:rStyle w:val="Strong"/>
                <w:bCs w:val="0"/>
              </w:rPr>
            </w:pPr>
            <w:r w:rsidRPr="000E2B6B">
              <w:rPr>
                <w:rStyle w:val="Strong"/>
              </w:rPr>
              <w:t>Date</w:t>
            </w:r>
          </w:p>
        </w:tc>
        <w:tc>
          <w:tcPr>
            <w:tcW w:w="929" w:type="pct"/>
            <w:shd w:val="clear" w:color="auto" w:fill="D9D9D9" w:themeFill="background1" w:themeFillShade="D9"/>
          </w:tcPr>
          <w:p w14:paraId="7A5DB9DD" w14:textId="77777777" w:rsidR="00B57F32" w:rsidRPr="000E2B6B" w:rsidRDefault="00B57F32" w:rsidP="00670CC5">
            <w:pPr>
              <w:rPr>
                <w:rStyle w:val="Strong"/>
                <w:bCs w:val="0"/>
              </w:rPr>
            </w:pPr>
            <w:r w:rsidRPr="000E2B6B">
              <w:rPr>
                <w:rStyle w:val="Strong"/>
              </w:rPr>
              <w:t>Author</w:t>
            </w:r>
          </w:p>
        </w:tc>
        <w:tc>
          <w:tcPr>
            <w:tcW w:w="3109" w:type="pct"/>
            <w:shd w:val="clear" w:color="auto" w:fill="D9D9D9" w:themeFill="background1" w:themeFillShade="D9"/>
          </w:tcPr>
          <w:p w14:paraId="78B05848" w14:textId="77777777" w:rsidR="00B57F32" w:rsidRPr="000E2B6B" w:rsidRDefault="00B57F32" w:rsidP="00670CC5">
            <w:pPr>
              <w:rPr>
                <w:rStyle w:val="Strong"/>
                <w:bCs w:val="0"/>
              </w:rPr>
            </w:pPr>
            <w:r w:rsidRPr="000E2B6B">
              <w:rPr>
                <w:rStyle w:val="Strong"/>
              </w:rPr>
              <w:t>Summary of Changes</w:t>
            </w:r>
          </w:p>
        </w:tc>
      </w:tr>
      <w:tr w:rsidR="000550D5" w:rsidRPr="00500C4E" w14:paraId="327F02A5" w14:textId="77777777" w:rsidTr="000550D5">
        <w:trPr>
          <w:trHeight w:val="20"/>
        </w:trPr>
        <w:tc>
          <w:tcPr>
            <w:tcW w:w="280" w:type="pct"/>
          </w:tcPr>
          <w:p w14:paraId="12C9BBF8" w14:textId="77777777" w:rsidR="000550D5" w:rsidRPr="000E2B6B" w:rsidRDefault="000550D5" w:rsidP="000550D5">
            <w:pPr>
              <w:jc w:val="center"/>
              <w:rPr>
                <w:rFonts w:cstheme="minorHAnsi"/>
                <w:szCs w:val="20"/>
              </w:rPr>
            </w:pPr>
            <w:r>
              <w:t>0</w:t>
            </w:r>
          </w:p>
        </w:tc>
        <w:tc>
          <w:tcPr>
            <w:tcW w:w="682" w:type="pct"/>
          </w:tcPr>
          <w:p w14:paraId="603CDBC7" w14:textId="77777777" w:rsidR="000550D5" w:rsidRPr="000E2B6B" w:rsidRDefault="000550D5" w:rsidP="000550D5">
            <w:pPr>
              <w:jc w:val="center"/>
              <w:rPr>
                <w:rFonts w:cstheme="minorHAnsi"/>
                <w:szCs w:val="20"/>
              </w:rPr>
            </w:pPr>
            <w:r>
              <w:rPr>
                <w:szCs w:val="20"/>
              </w:rPr>
              <w:t>4/30/2018</w:t>
            </w:r>
          </w:p>
        </w:tc>
        <w:tc>
          <w:tcPr>
            <w:tcW w:w="929" w:type="pct"/>
          </w:tcPr>
          <w:p w14:paraId="19C85476" w14:textId="77777777" w:rsidR="000550D5" w:rsidRPr="000E2B6B" w:rsidRDefault="000550D5" w:rsidP="000550D5">
            <w:pPr>
              <w:rPr>
                <w:rFonts w:cstheme="minorHAnsi"/>
                <w:szCs w:val="20"/>
              </w:rPr>
            </w:pPr>
            <w:r>
              <w:rPr>
                <w:szCs w:val="20"/>
              </w:rPr>
              <w:t>Eduardo Reynoso/ SDG&amp;E</w:t>
            </w:r>
          </w:p>
        </w:tc>
        <w:tc>
          <w:tcPr>
            <w:tcW w:w="3109" w:type="pct"/>
          </w:tcPr>
          <w:p w14:paraId="355CED50" w14:textId="77777777" w:rsidR="000550D5" w:rsidRDefault="000550D5" w:rsidP="000550D5">
            <w:pPr>
              <w:pStyle w:val="ListParagraph"/>
              <w:numPr>
                <w:ilvl w:val="0"/>
                <w:numId w:val="17"/>
              </w:numPr>
              <w:rPr>
                <w:bCs/>
                <w:szCs w:val="20"/>
              </w:rPr>
            </w:pPr>
            <w:r>
              <w:rPr>
                <w:bCs/>
                <w:szCs w:val="20"/>
              </w:rPr>
              <w:t xml:space="preserve">New short form (SF) workpaper for LED recessed downlight retrofit kit. </w:t>
            </w:r>
          </w:p>
          <w:p w14:paraId="4908E39D" w14:textId="77777777" w:rsidR="000550D5" w:rsidRDefault="00025A89" w:rsidP="000550D5">
            <w:pPr>
              <w:pStyle w:val="ListParagraph"/>
              <w:numPr>
                <w:ilvl w:val="0"/>
                <w:numId w:val="17"/>
              </w:numPr>
              <w:rPr>
                <w:bCs/>
                <w:szCs w:val="20"/>
              </w:rPr>
            </w:pPr>
            <w:r>
              <w:rPr>
                <w:bCs/>
                <w:szCs w:val="20"/>
              </w:rPr>
              <w:t xml:space="preserve">New Implementations in response to </w:t>
            </w:r>
            <w:r w:rsidR="000550D5">
              <w:rPr>
                <w:bCs/>
                <w:szCs w:val="20"/>
              </w:rPr>
              <w:t>March 1, 2018 screw-in Lighting Disposition issued by CPUC ED.</w:t>
            </w:r>
          </w:p>
          <w:p w14:paraId="7510D7CC" w14:textId="77777777" w:rsidR="000550D5" w:rsidRDefault="000550D5" w:rsidP="000550D5">
            <w:pPr>
              <w:pStyle w:val="ListParagraph"/>
              <w:numPr>
                <w:ilvl w:val="0"/>
                <w:numId w:val="17"/>
              </w:numPr>
              <w:rPr>
                <w:bCs/>
                <w:szCs w:val="20"/>
              </w:rPr>
            </w:pPr>
            <w:r>
              <w:rPr>
                <w:bCs/>
                <w:szCs w:val="20"/>
              </w:rPr>
              <w:t xml:space="preserve">Created new </w:t>
            </w:r>
            <w:r w:rsidR="00025A89">
              <w:rPr>
                <w:bCs/>
                <w:szCs w:val="20"/>
              </w:rPr>
              <w:t>Implementations (</w:t>
            </w:r>
            <w:r>
              <w:rPr>
                <w:bCs/>
                <w:szCs w:val="20"/>
              </w:rPr>
              <w:t>measure codes</w:t>
            </w:r>
            <w:r w:rsidR="00025A89">
              <w:rPr>
                <w:bCs/>
                <w:szCs w:val="20"/>
              </w:rPr>
              <w:t>)</w:t>
            </w:r>
            <w:r>
              <w:rPr>
                <w:bCs/>
                <w:szCs w:val="20"/>
              </w:rPr>
              <w:t xml:space="preserve"> by adopting PEAR database DEER Measure IDs with start dates of 07/01/2018. </w:t>
            </w:r>
          </w:p>
          <w:p w14:paraId="22339E2E" w14:textId="77777777" w:rsidR="00025A89" w:rsidRDefault="000550D5" w:rsidP="000550D5">
            <w:pPr>
              <w:pStyle w:val="ListParagraph"/>
              <w:numPr>
                <w:ilvl w:val="0"/>
                <w:numId w:val="17"/>
              </w:numPr>
              <w:rPr>
                <w:bCs/>
                <w:szCs w:val="20"/>
              </w:rPr>
            </w:pPr>
            <w:r>
              <w:rPr>
                <w:bCs/>
                <w:szCs w:val="20"/>
              </w:rPr>
              <w:t>Adopted PG&amp;E’s proposed measures and standard cost that align with both EISA bin and CEC Specification for all General Service Lamps (GSL).</w:t>
            </w:r>
          </w:p>
          <w:p w14:paraId="314801EF" w14:textId="77777777" w:rsidR="000550D5" w:rsidRPr="00025A89" w:rsidRDefault="000550D5" w:rsidP="000550D5">
            <w:pPr>
              <w:pStyle w:val="ListParagraph"/>
              <w:numPr>
                <w:ilvl w:val="0"/>
                <w:numId w:val="17"/>
              </w:numPr>
              <w:rPr>
                <w:bCs/>
                <w:szCs w:val="20"/>
              </w:rPr>
            </w:pPr>
            <w:r w:rsidRPr="00025A89">
              <w:rPr>
                <w:bCs/>
                <w:szCs w:val="20"/>
              </w:rPr>
              <w:t>Adopted and updated all LED screw-in lamps NTG ID = “</w:t>
            </w:r>
            <w:r w:rsidRPr="00025A89">
              <w:t>All-Ltg-ScrwInLED” (= 0.91) with 07/01/2018 start date.</w:t>
            </w:r>
          </w:p>
        </w:tc>
      </w:tr>
      <w:tr w:rsidR="000B1943" w:rsidRPr="00500C4E" w14:paraId="16ECF2F4" w14:textId="77777777" w:rsidTr="000550D5">
        <w:trPr>
          <w:trHeight w:val="20"/>
        </w:trPr>
        <w:tc>
          <w:tcPr>
            <w:tcW w:w="280" w:type="pct"/>
          </w:tcPr>
          <w:p w14:paraId="78D027B9" w14:textId="246B8701" w:rsidR="000B1943" w:rsidRDefault="000B1943" w:rsidP="000550D5">
            <w:pPr>
              <w:jc w:val="center"/>
            </w:pPr>
            <w:r>
              <w:t>0.1</w:t>
            </w:r>
          </w:p>
        </w:tc>
        <w:tc>
          <w:tcPr>
            <w:tcW w:w="682" w:type="pct"/>
          </w:tcPr>
          <w:p w14:paraId="6490EA1A" w14:textId="277394B0" w:rsidR="000B1943" w:rsidRDefault="000B1943" w:rsidP="000550D5">
            <w:pPr>
              <w:jc w:val="center"/>
              <w:rPr>
                <w:szCs w:val="20"/>
              </w:rPr>
            </w:pPr>
            <w:r>
              <w:rPr>
                <w:szCs w:val="20"/>
              </w:rPr>
              <w:t>5/15/2018</w:t>
            </w:r>
          </w:p>
        </w:tc>
        <w:tc>
          <w:tcPr>
            <w:tcW w:w="929" w:type="pct"/>
          </w:tcPr>
          <w:p w14:paraId="2671D810" w14:textId="580E2489" w:rsidR="000B1943" w:rsidRDefault="000B1943" w:rsidP="000550D5">
            <w:pPr>
              <w:rPr>
                <w:szCs w:val="20"/>
              </w:rPr>
            </w:pPr>
            <w:r>
              <w:rPr>
                <w:szCs w:val="20"/>
              </w:rPr>
              <w:t>Kelvin Valenzuela/SDG&amp;E</w:t>
            </w:r>
          </w:p>
        </w:tc>
        <w:tc>
          <w:tcPr>
            <w:tcW w:w="3109" w:type="pct"/>
          </w:tcPr>
          <w:p w14:paraId="5A9D12FF" w14:textId="45C9C907" w:rsidR="000B1943" w:rsidRDefault="00CD0C03" w:rsidP="000550D5">
            <w:pPr>
              <w:pStyle w:val="ListParagraph"/>
              <w:numPr>
                <w:ilvl w:val="0"/>
                <w:numId w:val="17"/>
              </w:numPr>
              <w:rPr>
                <w:bCs/>
                <w:szCs w:val="20"/>
              </w:rPr>
            </w:pPr>
            <w:r>
              <w:rPr>
                <w:bCs/>
                <w:szCs w:val="20"/>
              </w:rPr>
              <w:t xml:space="preserve">Revised measure and base costs, which enables </w:t>
            </w:r>
            <w:r w:rsidR="00AA5D16">
              <w:rPr>
                <w:bCs/>
                <w:szCs w:val="20"/>
              </w:rPr>
              <w:t>lamp wattage below 10 watts to have positive incremental costs.  These implementation IDs are included in the ex ante tables.</w:t>
            </w:r>
          </w:p>
          <w:p w14:paraId="6931DF3E" w14:textId="01879607" w:rsidR="00AA5D16" w:rsidRDefault="00AA5D16" w:rsidP="000550D5">
            <w:pPr>
              <w:pStyle w:val="ListParagraph"/>
              <w:numPr>
                <w:ilvl w:val="0"/>
                <w:numId w:val="17"/>
              </w:numPr>
              <w:rPr>
                <w:bCs/>
                <w:szCs w:val="20"/>
              </w:rPr>
            </w:pPr>
            <w:r>
              <w:rPr>
                <w:bCs/>
                <w:szCs w:val="20"/>
              </w:rPr>
              <w:t>Ex Ante tables also include CPUC’s updates to missing commercial can retrofit DEER IDs</w:t>
            </w:r>
          </w:p>
          <w:p w14:paraId="787AB7E0" w14:textId="2D3B64F7" w:rsidR="00AA5D16" w:rsidRDefault="00AA5D16" w:rsidP="00AA5D16">
            <w:pPr>
              <w:pStyle w:val="ListParagraph"/>
              <w:ind w:left="360"/>
              <w:rPr>
                <w:bCs/>
                <w:szCs w:val="20"/>
              </w:rPr>
            </w:pPr>
          </w:p>
        </w:tc>
      </w:tr>
    </w:tbl>
    <w:p w14:paraId="4D953F18" w14:textId="77777777" w:rsidR="00DB71F1" w:rsidRDefault="00DB71F1" w:rsidP="00413EF4"/>
    <w:p w14:paraId="71A25CAC" w14:textId="77777777" w:rsidR="00DB71F1" w:rsidRDefault="00DB71F1">
      <w:pPr>
        <w:spacing w:after="200" w:line="276" w:lineRule="auto"/>
      </w:pPr>
      <w:r>
        <w:br w:type="page"/>
      </w:r>
    </w:p>
    <w:p w14:paraId="7CCA3455" w14:textId="77777777" w:rsidR="00DB71F1" w:rsidRDefault="00DB71F1" w:rsidP="00DB71F1">
      <w:pPr>
        <w:pStyle w:val="Heading2"/>
      </w:pPr>
      <w:r>
        <w:lastRenderedPageBreak/>
        <w:t>Measure Summary</w:t>
      </w:r>
      <w:r w:rsidRPr="0025216C">
        <w:t xml:space="preserve"> </w:t>
      </w:r>
    </w:p>
    <w:p w14:paraId="744698D6" w14:textId="77777777" w:rsidR="00EE6CFE" w:rsidRPr="00EE6CFE" w:rsidRDefault="00EE6CFE" w:rsidP="0081521B"/>
    <w:p w14:paraId="5362429A" w14:textId="77777777" w:rsidR="00DB71F1" w:rsidRDefault="00DB71F1" w:rsidP="00DB71F1">
      <w:pPr>
        <w:pStyle w:val="Caption"/>
        <w:keepNext/>
        <w:jc w:val="center"/>
      </w:pPr>
      <w:r>
        <w:t xml:space="preserve">Table </w:t>
      </w:r>
      <w:r w:rsidR="00987CFB">
        <w:fldChar w:fldCharType="begin"/>
      </w:r>
      <w:r w:rsidR="00987CFB">
        <w:instrText xml:space="preserve"> SEQ Table \* ARABIC </w:instrText>
      </w:r>
      <w:r w:rsidR="00987CFB">
        <w:fldChar w:fldCharType="separate"/>
      </w:r>
      <w:r w:rsidR="000719BF">
        <w:rPr>
          <w:noProof/>
        </w:rPr>
        <w:t>1</w:t>
      </w:r>
      <w:r w:rsidR="00987CFB">
        <w:rPr>
          <w:noProof/>
        </w:rPr>
        <w:fldChar w:fldCharType="end"/>
      </w:r>
      <w:r>
        <w:t>: Measure Summary Table</w:t>
      </w:r>
    </w:p>
    <w:tbl>
      <w:tblPr>
        <w:tblStyle w:val="TableGrid"/>
        <w:tblW w:w="0" w:type="auto"/>
        <w:tblLook w:val="04A0" w:firstRow="1" w:lastRow="0" w:firstColumn="1" w:lastColumn="0" w:noHBand="0" w:noVBand="1"/>
      </w:tblPr>
      <w:tblGrid>
        <w:gridCol w:w="1449"/>
        <w:gridCol w:w="7901"/>
      </w:tblGrid>
      <w:tr w:rsidR="00DB71F1" w14:paraId="36637359" w14:textId="77777777" w:rsidTr="009412A4">
        <w:trPr>
          <w:cantSplit/>
          <w:tblHeader/>
        </w:trPr>
        <w:tc>
          <w:tcPr>
            <w:tcW w:w="1440" w:type="dxa"/>
          </w:tcPr>
          <w:p w14:paraId="7BA1E755" w14:textId="77777777" w:rsidR="00DB71F1" w:rsidRPr="00D86243" w:rsidRDefault="00DB71F1" w:rsidP="00670CC5">
            <w:pPr>
              <w:jc w:val="center"/>
              <w:rPr>
                <w:b/>
              </w:rPr>
            </w:pPr>
            <w:r w:rsidRPr="00D86243">
              <w:rPr>
                <w:b/>
              </w:rPr>
              <w:t>Section</w:t>
            </w:r>
          </w:p>
        </w:tc>
        <w:tc>
          <w:tcPr>
            <w:tcW w:w="7910" w:type="dxa"/>
          </w:tcPr>
          <w:p w14:paraId="0D349C79" w14:textId="77777777" w:rsidR="00DB71F1" w:rsidRPr="00D86243" w:rsidRDefault="00DB71F1" w:rsidP="00670CC5">
            <w:pPr>
              <w:jc w:val="center"/>
              <w:rPr>
                <w:b/>
              </w:rPr>
            </w:pPr>
            <w:r w:rsidRPr="00D86243">
              <w:rPr>
                <w:b/>
              </w:rPr>
              <w:t>Value</w:t>
            </w:r>
          </w:p>
        </w:tc>
      </w:tr>
      <w:tr w:rsidR="00DB71F1" w14:paraId="7FE679F2" w14:textId="77777777" w:rsidTr="009412A4">
        <w:trPr>
          <w:cantSplit/>
        </w:trPr>
        <w:tc>
          <w:tcPr>
            <w:tcW w:w="1440" w:type="dxa"/>
            <w:vAlign w:val="center"/>
          </w:tcPr>
          <w:p w14:paraId="204CE950" w14:textId="77777777" w:rsidR="00DB71F1" w:rsidRPr="001D77F7" w:rsidRDefault="00DB71F1" w:rsidP="00670CC5">
            <w:pPr>
              <w:rPr>
                <w:b/>
              </w:rPr>
            </w:pPr>
            <w:r>
              <w:rPr>
                <w:b/>
              </w:rPr>
              <w:t>Summary &amp; Purpose</w:t>
            </w:r>
          </w:p>
        </w:tc>
        <w:tc>
          <w:tcPr>
            <w:tcW w:w="7910" w:type="dxa"/>
          </w:tcPr>
          <w:p w14:paraId="419F5C95" w14:textId="77777777" w:rsidR="00F20CD6" w:rsidRPr="00F20CD6" w:rsidRDefault="00F20CD6" w:rsidP="00F20CD6">
            <w:pPr>
              <w:jc w:val="both"/>
              <w:rPr>
                <w:sz w:val="20"/>
                <w:szCs w:val="20"/>
              </w:rPr>
            </w:pPr>
            <w:r w:rsidRPr="00F20CD6">
              <w:rPr>
                <w:sz w:val="20"/>
                <w:szCs w:val="20"/>
              </w:rPr>
              <w:t>Thi</w:t>
            </w:r>
            <w:r>
              <w:rPr>
                <w:sz w:val="20"/>
                <w:szCs w:val="20"/>
              </w:rPr>
              <w:t>s short form workpaper</w:t>
            </w:r>
            <w:r w:rsidRPr="00F20CD6">
              <w:rPr>
                <w:sz w:val="20"/>
                <w:szCs w:val="20"/>
              </w:rPr>
              <w:t xml:space="preserve"> (WP)</w:t>
            </w:r>
            <w:r>
              <w:rPr>
                <w:sz w:val="20"/>
                <w:szCs w:val="20"/>
              </w:rPr>
              <w:t xml:space="preserve"> documents</w:t>
            </w:r>
            <w:r w:rsidRPr="00F20CD6">
              <w:rPr>
                <w:sz w:val="20"/>
                <w:szCs w:val="20"/>
              </w:rPr>
              <w:t xml:space="preserve"> the updates addressing the Ma</w:t>
            </w:r>
            <w:r w:rsidR="00B8452E">
              <w:rPr>
                <w:sz w:val="20"/>
                <w:szCs w:val="20"/>
              </w:rPr>
              <w:t>rch 1</w:t>
            </w:r>
            <w:r w:rsidRPr="00F20CD6">
              <w:rPr>
                <w:sz w:val="20"/>
                <w:szCs w:val="20"/>
              </w:rPr>
              <w:t>, 201</w:t>
            </w:r>
            <w:r w:rsidR="00B8452E">
              <w:rPr>
                <w:sz w:val="20"/>
                <w:szCs w:val="20"/>
              </w:rPr>
              <w:t>8</w:t>
            </w:r>
            <w:r w:rsidRPr="00F20CD6">
              <w:rPr>
                <w:sz w:val="20"/>
                <w:szCs w:val="20"/>
              </w:rPr>
              <w:t xml:space="preserve"> screw-in lighting disposition</w:t>
            </w:r>
            <w:r w:rsidR="00DF2D67">
              <w:rPr>
                <w:sz w:val="20"/>
                <w:szCs w:val="20"/>
              </w:rPr>
              <w:t xml:space="preserve"> issued by CPUC Energy Division</w:t>
            </w:r>
            <w:r w:rsidRPr="00F20CD6">
              <w:rPr>
                <w:sz w:val="20"/>
                <w:szCs w:val="20"/>
              </w:rPr>
              <w:t>.  The updates include creating new measure codes that are based on EISA bins and CEC spec</w:t>
            </w:r>
            <w:r w:rsidR="00B8452E">
              <w:rPr>
                <w:sz w:val="20"/>
                <w:szCs w:val="20"/>
              </w:rPr>
              <w:t>ifications</w:t>
            </w:r>
            <w:r w:rsidRPr="00F20CD6">
              <w:rPr>
                <w:sz w:val="20"/>
                <w:szCs w:val="20"/>
              </w:rPr>
              <w:t xml:space="preserve"> for </w:t>
            </w:r>
            <w:r w:rsidR="00E64D74">
              <w:rPr>
                <w:sz w:val="20"/>
                <w:szCs w:val="20"/>
              </w:rPr>
              <w:t xml:space="preserve">all </w:t>
            </w:r>
            <w:r w:rsidR="00B8452E">
              <w:rPr>
                <w:sz w:val="20"/>
                <w:szCs w:val="20"/>
              </w:rPr>
              <w:t>General Service Lamps (GSL)</w:t>
            </w:r>
            <w:r w:rsidR="002101B6">
              <w:rPr>
                <w:sz w:val="20"/>
                <w:szCs w:val="20"/>
              </w:rPr>
              <w:t>.</w:t>
            </w:r>
          </w:p>
          <w:p w14:paraId="19AF94A7" w14:textId="77777777" w:rsidR="00DB71F1" w:rsidRPr="00D86243" w:rsidRDefault="00DB71F1" w:rsidP="00555671">
            <w:pPr>
              <w:jc w:val="both"/>
              <w:rPr>
                <w:rFonts w:cs="Arial"/>
                <w:sz w:val="20"/>
                <w:szCs w:val="20"/>
              </w:rPr>
            </w:pPr>
          </w:p>
        </w:tc>
      </w:tr>
      <w:tr w:rsidR="009412A4" w14:paraId="49517C9A" w14:textId="77777777" w:rsidTr="009412A4">
        <w:trPr>
          <w:cantSplit/>
        </w:trPr>
        <w:tc>
          <w:tcPr>
            <w:tcW w:w="1440" w:type="dxa"/>
            <w:vAlign w:val="center"/>
          </w:tcPr>
          <w:p w14:paraId="47E12A5B" w14:textId="77777777" w:rsidR="009412A4" w:rsidRPr="001D77F7" w:rsidRDefault="009412A4" w:rsidP="009412A4">
            <w:pPr>
              <w:rPr>
                <w:b/>
              </w:rPr>
            </w:pPr>
            <w:r w:rsidRPr="001D77F7">
              <w:rPr>
                <w:b/>
              </w:rPr>
              <w:t>1.1 Measure &amp; Baseline Data</w:t>
            </w:r>
          </w:p>
        </w:tc>
        <w:tc>
          <w:tcPr>
            <w:tcW w:w="7910" w:type="dxa"/>
          </w:tcPr>
          <w:p w14:paraId="2422BF33" w14:textId="3C0DCF28" w:rsidR="00142D37" w:rsidRDefault="00142D37" w:rsidP="009412A4">
            <w:pPr>
              <w:tabs>
                <w:tab w:val="right" w:pos="6732"/>
              </w:tabs>
              <w:jc w:val="both"/>
              <w:rPr>
                <w:rFonts w:cs="Arial"/>
                <w:sz w:val="20"/>
                <w:szCs w:val="20"/>
              </w:rPr>
            </w:pPr>
            <w:r>
              <w:rPr>
                <w:rFonts w:ascii="Calibri" w:hAnsi="Calibri"/>
                <w:color w:val="000000"/>
                <w:sz w:val="20"/>
                <w:szCs w:val="20"/>
              </w:rPr>
              <w:t xml:space="preserve">Refer to Ex-ante data tables </w:t>
            </w:r>
            <w:r w:rsidRPr="008E71C1">
              <w:rPr>
                <w:rFonts w:ascii="Calibri" w:hAnsi="Calibri"/>
                <w:color w:val="000000"/>
                <w:sz w:val="20"/>
                <w:szCs w:val="20"/>
              </w:rPr>
              <w:t xml:space="preserve">entitled </w:t>
            </w:r>
            <w:r w:rsidR="007C6F79">
              <w:rPr>
                <w:rFonts w:ascii="Calibri" w:hAnsi="Calibri"/>
                <w:color w:val="000000"/>
                <w:sz w:val="20"/>
                <w:szCs w:val="20"/>
              </w:rPr>
              <w:t>“</w:t>
            </w:r>
            <w:r w:rsidR="00AA5D16" w:rsidRPr="00AA5D16">
              <w:rPr>
                <w:rFonts w:ascii="Calibri" w:hAnsi="Calibri"/>
                <w:color w:val="000000"/>
                <w:sz w:val="20"/>
                <w:szCs w:val="20"/>
              </w:rPr>
              <w:t>20180514_LED_r1.MDB</w:t>
            </w:r>
            <w:r w:rsidR="007C6F79" w:rsidRPr="005677A6">
              <w:rPr>
                <w:rFonts w:ascii="Calibri" w:hAnsi="Calibri"/>
                <w:color w:val="000000"/>
                <w:sz w:val="20"/>
                <w:szCs w:val="20"/>
              </w:rPr>
              <w:t>”</w:t>
            </w:r>
            <w:r w:rsidR="007C6F79">
              <w:rPr>
                <w:rFonts w:ascii="Calibri" w:hAnsi="Calibri"/>
                <w:color w:val="000000"/>
                <w:sz w:val="20"/>
                <w:szCs w:val="20"/>
              </w:rPr>
              <w:t xml:space="preserve"> </w:t>
            </w:r>
            <w:r w:rsidRPr="008E71C1">
              <w:rPr>
                <w:rFonts w:ascii="Calibri" w:hAnsi="Calibri"/>
                <w:color w:val="000000"/>
                <w:sz w:val="20"/>
                <w:szCs w:val="20"/>
              </w:rPr>
              <w:t xml:space="preserve">for SDG&amp;E </w:t>
            </w:r>
            <w:r>
              <w:rPr>
                <w:rFonts w:ascii="Calibri" w:hAnsi="Calibri"/>
                <w:color w:val="000000"/>
                <w:sz w:val="20"/>
                <w:szCs w:val="20"/>
              </w:rPr>
              <w:t>Implementation source documentation and adoption of DEER Measure IDs</w:t>
            </w:r>
            <w:r w:rsidRPr="00CD265D">
              <w:rPr>
                <w:rFonts w:cs="Arial"/>
                <w:sz w:val="20"/>
                <w:szCs w:val="20"/>
              </w:rPr>
              <w:t>.</w:t>
            </w:r>
          </w:p>
          <w:p w14:paraId="640DCEB5" w14:textId="77777777" w:rsidR="009D06C6" w:rsidRDefault="009D06C6" w:rsidP="009412A4">
            <w:pPr>
              <w:tabs>
                <w:tab w:val="right" w:pos="6732"/>
              </w:tabs>
              <w:jc w:val="both"/>
              <w:rPr>
                <w:rFonts w:cs="Arial"/>
                <w:sz w:val="20"/>
                <w:szCs w:val="20"/>
              </w:rPr>
            </w:pPr>
          </w:p>
          <w:tbl>
            <w:tblPr>
              <w:tblStyle w:val="TableGrid"/>
              <w:tblW w:w="0" w:type="auto"/>
              <w:tblLook w:val="04A0" w:firstRow="1" w:lastRow="0" w:firstColumn="1" w:lastColumn="0" w:noHBand="0" w:noVBand="1"/>
            </w:tblPr>
            <w:tblGrid>
              <w:gridCol w:w="956"/>
              <w:gridCol w:w="1081"/>
              <w:gridCol w:w="3145"/>
              <w:gridCol w:w="1079"/>
              <w:gridCol w:w="1414"/>
            </w:tblGrid>
            <w:tr w:rsidR="001649C3" w14:paraId="6706CD3C" w14:textId="77777777" w:rsidTr="00E64D74">
              <w:tc>
                <w:tcPr>
                  <w:tcW w:w="956" w:type="dxa"/>
                  <w:shd w:val="clear" w:color="auto" w:fill="D9D9D9" w:themeFill="background1" w:themeFillShade="D9"/>
                </w:tcPr>
                <w:p w14:paraId="00BFE507" w14:textId="77777777" w:rsidR="003F0A54" w:rsidRPr="003F0A54" w:rsidRDefault="003F0A54" w:rsidP="009D06C6">
                  <w:pPr>
                    <w:tabs>
                      <w:tab w:val="right" w:pos="6732"/>
                    </w:tabs>
                    <w:rPr>
                      <w:rFonts w:cs="Arial"/>
                      <w:b/>
                      <w:sz w:val="16"/>
                      <w:szCs w:val="16"/>
                    </w:rPr>
                  </w:pPr>
                  <w:r w:rsidRPr="003F0A54">
                    <w:rPr>
                      <w:rFonts w:cs="Arial"/>
                      <w:b/>
                      <w:sz w:val="16"/>
                      <w:szCs w:val="16"/>
                    </w:rPr>
                    <w:t>LED Lamp Type</w:t>
                  </w:r>
                </w:p>
              </w:tc>
              <w:tc>
                <w:tcPr>
                  <w:tcW w:w="1081" w:type="dxa"/>
                  <w:shd w:val="clear" w:color="auto" w:fill="D9D9D9" w:themeFill="background1" w:themeFillShade="D9"/>
                </w:tcPr>
                <w:p w14:paraId="5CC1E6E7" w14:textId="77777777" w:rsidR="003F0A54" w:rsidRPr="003F0A54" w:rsidRDefault="003F0A54" w:rsidP="009D06C6">
                  <w:pPr>
                    <w:tabs>
                      <w:tab w:val="right" w:pos="6732"/>
                    </w:tabs>
                    <w:rPr>
                      <w:rFonts w:cs="Arial"/>
                      <w:b/>
                      <w:sz w:val="16"/>
                      <w:szCs w:val="16"/>
                    </w:rPr>
                  </w:pPr>
                  <w:r w:rsidRPr="003F0A54">
                    <w:rPr>
                      <w:rFonts w:cs="Arial"/>
                      <w:b/>
                      <w:sz w:val="16"/>
                      <w:szCs w:val="16"/>
                    </w:rPr>
                    <w:t>Sector</w:t>
                  </w:r>
                </w:p>
              </w:tc>
              <w:tc>
                <w:tcPr>
                  <w:tcW w:w="3145" w:type="dxa"/>
                  <w:shd w:val="clear" w:color="auto" w:fill="D9D9D9" w:themeFill="background1" w:themeFillShade="D9"/>
                </w:tcPr>
                <w:p w14:paraId="15C40FF4" w14:textId="77777777" w:rsidR="003F0A54" w:rsidRPr="003F0A54" w:rsidRDefault="003F0A54" w:rsidP="009D06C6">
                  <w:pPr>
                    <w:tabs>
                      <w:tab w:val="right" w:pos="6732"/>
                    </w:tabs>
                    <w:rPr>
                      <w:rFonts w:cs="Arial"/>
                      <w:b/>
                      <w:sz w:val="16"/>
                      <w:szCs w:val="16"/>
                    </w:rPr>
                  </w:pPr>
                  <w:r w:rsidRPr="003F0A54">
                    <w:rPr>
                      <w:rFonts w:cs="Arial"/>
                      <w:b/>
                      <w:sz w:val="16"/>
                      <w:szCs w:val="16"/>
                    </w:rPr>
                    <w:t>Measure Description</w:t>
                  </w:r>
                </w:p>
              </w:tc>
              <w:tc>
                <w:tcPr>
                  <w:tcW w:w="1079" w:type="dxa"/>
                  <w:shd w:val="clear" w:color="auto" w:fill="D9D9D9" w:themeFill="background1" w:themeFillShade="D9"/>
                </w:tcPr>
                <w:p w14:paraId="1DA4AF07" w14:textId="77777777" w:rsidR="003F0A54" w:rsidRPr="003F0A54" w:rsidRDefault="003F0A54" w:rsidP="009D06C6">
                  <w:pPr>
                    <w:tabs>
                      <w:tab w:val="right" w:pos="6732"/>
                    </w:tabs>
                    <w:rPr>
                      <w:rFonts w:cs="Arial"/>
                      <w:b/>
                      <w:sz w:val="16"/>
                      <w:szCs w:val="16"/>
                    </w:rPr>
                  </w:pPr>
                  <w:r>
                    <w:rPr>
                      <w:rFonts w:cs="Arial"/>
                      <w:b/>
                      <w:sz w:val="16"/>
                      <w:szCs w:val="16"/>
                    </w:rPr>
                    <w:t>Baseline Standard Description</w:t>
                  </w:r>
                </w:p>
              </w:tc>
              <w:tc>
                <w:tcPr>
                  <w:tcW w:w="1414" w:type="dxa"/>
                  <w:shd w:val="clear" w:color="auto" w:fill="D9D9D9" w:themeFill="background1" w:themeFillShade="D9"/>
                </w:tcPr>
                <w:p w14:paraId="51DB5989" w14:textId="77777777" w:rsidR="003F0A54" w:rsidRDefault="00906857" w:rsidP="009D06C6">
                  <w:pPr>
                    <w:tabs>
                      <w:tab w:val="right" w:pos="6732"/>
                    </w:tabs>
                    <w:rPr>
                      <w:rFonts w:cs="Arial"/>
                      <w:b/>
                      <w:sz w:val="16"/>
                      <w:szCs w:val="16"/>
                    </w:rPr>
                  </w:pPr>
                  <w:proofErr w:type="spellStart"/>
                  <w:r w:rsidRPr="00906857">
                    <w:rPr>
                      <w:rFonts w:cs="Arial"/>
                      <w:b/>
                      <w:sz w:val="16"/>
                      <w:szCs w:val="16"/>
                    </w:rPr>
                    <w:t>UseSubCategory</w:t>
                  </w:r>
                  <w:proofErr w:type="spellEnd"/>
                </w:p>
              </w:tc>
            </w:tr>
            <w:tr w:rsidR="00060C58" w14:paraId="2B4A18CF" w14:textId="77777777" w:rsidTr="00E64D74">
              <w:tc>
                <w:tcPr>
                  <w:tcW w:w="956" w:type="dxa"/>
                </w:tcPr>
                <w:p w14:paraId="0AFC694A" w14:textId="34B955A5" w:rsidR="00060C58" w:rsidRPr="003F0A54" w:rsidRDefault="00060C58" w:rsidP="00060C58">
                  <w:pPr>
                    <w:tabs>
                      <w:tab w:val="right" w:pos="6732"/>
                    </w:tabs>
                    <w:rPr>
                      <w:rFonts w:cs="Arial"/>
                      <w:sz w:val="16"/>
                      <w:szCs w:val="16"/>
                    </w:rPr>
                  </w:pPr>
                  <w:r>
                    <w:rPr>
                      <w:rFonts w:cs="Arial"/>
                      <w:sz w:val="16"/>
                      <w:szCs w:val="16"/>
                    </w:rPr>
                    <w:t>PAR30</w:t>
                  </w:r>
                </w:p>
              </w:tc>
              <w:tc>
                <w:tcPr>
                  <w:tcW w:w="1081" w:type="dxa"/>
                </w:tcPr>
                <w:p w14:paraId="4517766E" w14:textId="77777777" w:rsidR="00060C58" w:rsidRDefault="00060C58" w:rsidP="00060C58">
                  <w:pPr>
                    <w:tabs>
                      <w:tab w:val="right" w:pos="6732"/>
                    </w:tabs>
                    <w:spacing w:after="100" w:afterAutospacing="1"/>
                    <w:ind w:right="-288"/>
                    <w:rPr>
                      <w:rFonts w:cs="Arial"/>
                      <w:sz w:val="16"/>
                      <w:szCs w:val="16"/>
                    </w:rPr>
                  </w:pPr>
                  <w:r w:rsidRPr="00532D27">
                    <w:rPr>
                      <w:rFonts w:cs="Arial"/>
                      <w:sz w:val="16"/>
                      <w:szCs w:val="16"/>
                    </w:rPr>
                    <w:t>Residential</w:t>
                  </w:r>
                  <w:r>
                    <w:rPr>
                      <w:rFonts w:cs="Arial"/>
                      <w:sz w:val="16"/>
                      <w:szCs w:val="16"/>
                    </w:rPr>
                    <w:t xml:space="preserve"> &amp; </w:t>
                  </w:r>
                </w:p>
                <w:p w14:paraId="4E9349E2" w14:textId="30272B7C" w:rsidR="00060C58" w:rsidRPr="00532D27" w:rsidRDefault="00060C58" w:rsidP="00060C58">
                  <w:pPr>
                    <w:tabs>
                      <w:tab w:val="right" w:pos="6732"/>
                    </w:tabs>
                    <w:spacing w:after="100" w:afterAutospacing="1"/>
                    <w:ind w:right="-288"/>
                    <w:rPr>
                      <w:rFonts w:cs="Arial"/>
                      <w:sz w:val="16"/>
                      <w:szCs w:val="16"/>
                    </w:rPr>
                  </w:pPr>
                  <w:r w:rsidRPr="00532D27">
                    <w:rPr>
                      <w:rFonts w:cs="Arial"/>
                      <w:sz w:val="16"/>
                      <w:szCs w:val="16"/>
                    </w:rPr>
                    <w:t>Commercial</w:t>
                  </w:r>
                </w:p>
              </w:tc>
              <w:tc>
                <w:tcPr>
                  <w:tcW w:w="3145" w:type="dxa"/>
                </w:tcPr>
                <w:p w14:paraId="69BBFF7F" w14:textId="77777777" w:rsidR="00060C58" w:rsidRPr="001649C3" w:rsidRDefault="00060C58" w:rsidP="00060C58">
                  <w:pPr>
                    <w:tabs>
                      <w:tab w:val="right" w:pos="6732"/>
                    </w:tabs>
                    <w:rPr>
                      <w:rFonts w:cs="Arial"/>
                      <w:sz w:val="16"/>
                      <w:szCs w:val="16"/>
                    </w:rPr>
                  </w:pPr>
                  <w:r w:rsidRPr="001649C3">
                    <w:rPr>
                      <w:rFonts w:cs="Arial"/>
                      <w:sz w:val="16"/>
                      <w:szCs w:val="16"/>
                    </w:rPr>
                    <w:t>LED Lamp: PAR30, 21 Watts, non-dimmable</w:t>
                  </w:r>
                </w:p>
                <w:p w14:paraId="6C45A7F7" w14:textId="77777777" w:rsidR="00060C58" w:rsidRPr="001649C3" w:rsidRDefault="00060C58" w:rsidP="00060C58">
                  <w:pPr>
                    <w:tabs>
                      <w:tab w:val="right" w:pos="6732"/>
                    </w:tabs>
                    <w:rPr>
                      <w:rFonts w:cs="Arial"/>
                      <w:sz w:val="16"/>
                      <w:szCs w:val="16"/>
                    </w:rPr>
                  </w:pPr>
                  <w:r w:rsidRPr="001649C3">
                    <w:rPr>
                      <w:rFonts w:cs="Arial"/>
                      <w:sz w:val="16"/>
                      <w:szCs w:val="16"/>
                    </w:rPr>
                    <w:t>LED Lamp: PAR30, 20 Watts, non-dimmable</w:t>
                  </w:r>
                </w:p>
                <w:p w14:paraId="4749A019" w14:textId="77777777" w:rsidR="00060C58" w:rsidRPr="001649C3" w:rsidRDefault="00060C58" w:rsidP="00060C58">
                  <w:pPr>
                    <w:tabs>
                      <w:tab w:val="right" w:pos="6732"/>
                    </w:tabs>
                    <w:rPr>
                      <w:rFonts w:cs="Arial"/>
                      <w:sz w:val="16"/>
                      <w:szCs w:val="16"/>
                    </w:rPr>
                  </w:pPr>
                  <w:r w:rsidRPr="001649C3">
                    <w:rPr>
                      <w:rFonts w:cs="Arial"/>
                      <w:sz w:val="16"/>
                      <w:szCs w:val="16"/>
                    </w:rPr>
                    <w:t>LED Lamp: PAR30, 19 Watts, non-dimmable</w:t>
                  </w:r>
                </w:p>
                <w:p w14:paraId="6E8FB22D" w14:textId="77777777" w:rsidR="00060C58" w:rsidRPr="001649C3" w:rsidRDefault="00060C58" w:rsidP="00060C58">
                  <w:pPr>
                    <w:tabs>
                      <w:tab w:val="right" w:pos="6732"/>
                    </w:tabs>
                    <w:rPr>
                      <w:rFonts w:cs="Arial"/>
                      <w:sz w:val="16"/>
                      <w:szCs w:val="16"/>
                    </w:rPr>
                  </w:pPr>
                  <w:r w:rsidRPr="001649C3">
                    <w:rPr>
                      <w:rFonts w:cs="Arial"/>
                      <w:sz w:val="16"/>
                      <w:szCs w:val="16"/>
                    </w:rPr>
                    <w:t>LED Lamp: PAR30, 18 Watts, non-dimmable</w:t>
                  </w:r>
                </w:p>
                <w:p w14:paraId="19B3530C" w14:textId="77777777" w:rsidR="00060C58" w:rsidRPr="001649C3" w:rsidRDefault="00060C58" w:rsidP="00060C58">
                  <w:pPr>
                    <w:tabs>
                      <w:tab w:val="right" w:pos="6732"/>
                    </w:tabs>
                    <w:rPr>
                      <w:rFonts w:cs="Arial"/>
                      <w:sz w:val="16"/>
                      <w:szCs w:val="16"/>
                    </w:rPr>
                  </w:pPr>
                  <w:r w:rsidRPr="001649C3">
                    <w:rPr>
                      <w:rFonts w:cs="Arial"/>
                      <w:sz w:val="16"/>
                      <w:szCs w:val="16"/>
                    </w:rPr>
                    <w:t>LED Lamp: PAR30, 17 Watts, non-dimmable</w:t>
                  </w:r>
                </w:p>
                <w:p w14:paraId="0F85C004" w14:textId="77777777" w:rsidR="00060C58" w:rsidRPr="001649C3" w:rsidRDefault="00060C58" w:rsidP="00060C58">
                  <w:pPr>
                    <w:tabs>
                      <w:tab w:val="right" w:pos="6732"/>
                    </w:tabs>
                    <w:rPr>
                      <w:rFonts w:cs="Arial"/>
                      <w:sz w:val="16"/>
                      <w:szCs w:val="16"/>
                    </w:rPr>
                  </w:pPr>
                  <w:r w:rsidRPr="001649C3">
                    <w:rPr>
                      <w:rFonts w:cs="Arial"/>
                      <w:sz w:val="16"/>
                      <w:szCs w:val="16"/>
                    </w:rPr>
                    <w:t>LED Lamp: PAR30, 16 Watts, non-dimmable</w:t>
                  </w:r>
                </w:p>
                <w:p w14:paraId="192405F7" w14:textId="77777777" w:rsidR="00060C58" w:rsidRPr="001649C3" w:rsidRDefault="00060C58" w:rsidP="00060C58">
                  <w:pPr>
                    <w:tabs>
                      <w:tab w:val="right" w:pos="6732"/>
                    </w:tabs>
                    <w:rPr>
                      <w:rFonts w:cs="Arial"/>
                      <w:sz w:val="16"/>
                      <w:szCs w:val="16"/>
                    </w:rPr>
                  </w:pPr>
                  <w:r w:rsidRPr="001649C3">
                    <w:rPr>
                      <w:rFonts w:cs="Arial"/>
                      <w:sz w:val="16"/>
                      <w:szCs w:val="16"/>
                    </w:rPr>
                    <w:t>LED Lamp: PAR30, 15 Watts, non-dimmable</w:t>
                  </w:r>
                </w:p>
                <w:p w14:paraId="1605842A" w14:textId="77777777" w:rsidR="00060C58" w:rsidRPr="001649C3" w:rsidRDefault="00060C58" w:rsidP="00060C58">
                  <w:pPr>
                    <w:tabs>
                      <w:tab w:val="right" w:pos="6732"/>
                    </w:tabs>
                    <w:rPr>
                      <w:rFonts w:cs="Arial"/>
                      <w:sz w:val="16"/>
                      <w:szCs w:val="16"/>
                    </w:rPr>
                  </w:pPr>
                  <w:r w:rsidRPr="001649C3">
                    <w:rPr>
                      <w:rFonts w:cs="Arial"/>
                      <w:sz w:val="16"/>
                      <w:szCs w:val="16"/>
                    </w:rPr>
                    <w:t>LED Lamp: PAR30, 14 Watts, non-dimmable</w:t>
                  </w:r>
                </w:p>
                <w:p w14:paraId="6CABF1E8" w14:textId="77777777" w:rsidR="00060C58" w:rsidRPr="001649C3" w:rsidRDefault="00060C58" w:rsidP="00060C58">
                  <w:pPr>
                    <w:tabs>
                      <w:tab w:val="right" w:pos="6732"/>
                    </w:tabs>
                    <w:rPr>
                      <w:rFonts w:cs="Arial"/>
                      <w:sz w:val="16"/>
                      <w:szCs w:val="16"/>
                    </w:rPr>
                  </w:pPr>
                  <w:r w:rsidRPr="001649C3">
                    <w:rPr>
                      <w:rFonts w:cs="Arial"/>
                      <w:sz w:val="16"/>
                      <w:szCs w:val="16"/>
                    </w:rPr>
                    <w:t>LED Lamp: PAR30, 13 Watts, non-dimmable</w:t>
                  </w:r>
                </w:p>
                <w:p w14:paraId="1B6C4965" w14:textId="77777777" w:rsidR="00060C58" w:rsidRPr="001649C3" w:rsidRDefault="00060C58" w:rsidP="00060C58">
                  <w:pPr>
                    <w:tabs>
                      <w:tab w:val="right" w:pos="6732"/>
                    </w:tabs>
                    <w:rPr>
                      <w:rFonts w:cs="Arial"/>
                      <w:sz w:val="16"/>
                      <w:szCs w:val="16"/>
                    </w:rPr>
                  </w:pPr>
                  <w:r w:rsidRPr="001649C3">
                    <w:rPr>
                      <w:rFonts w:cs="Arial"/>
                      <w:sz w:val="16"/>
                      <w:szCs w:val="16"/>
                    </w:rPr>
                    <w:t>LED Lamp: PAR30, 12 Watts, non-dimmable</w:t>
                  </w:r>
                </w:p>
                <w:p w14:paraId="244861C3" w14:textId="77777777" w:rsidR="00060C58" w:rsidRPr="001649C3" w:rsidRDefault="00060C58" w:rsidP="00060C58">
                  <w:pPr>
                    <w:tabs>
                      <w:tab w:val="right" w:pos="6732"/>
                    </w:tabs>
                    <w:rPr>
                      <w:rFonts w:cs="Arial"/>
                      <w:sz w:val="16"/>
                      <w:szCs w:val="16"/>
                    </w:rPr>
                  </w:pPr>
                  <w:r w:rsidRPr="001649C3">
                    <w:rPr>
                      <w:rFonts w:cs="Arial"/>
                      <w:sz w:val="16"/>
                      <w:szCs w:val="16"/>
                    </w:rPr>
                    <w:t>LED Lamp: PAR30, 11 Watts, non-dimmable</w:t>
                  </w:r>
                </w:p>
                <w:p w14:paraId="07DB46EA" w14:textId="77777777" w:rsidR="00060C58" w:rsidRPr="001649C3" w:rsidRDefault="00060C58" w:rsidP="00060C58">
                  <w:pPr>
                    <w:tabs>
                      <w:tab w:val="right" w:pos="6732"/>
                    </w:tabs>
                    <w:rPr>
                      <w:rFonts w:cs="Arial"/>
                      <w:sz w:val="16"/>
                      <w:szCs w:val="16"/>
                    </w:rPr>
                  </w:pPr>
                  <w:r w:rsidRPr="001649C3">
                    <w:rPr>
                      <w:rFonts w:cs="Arial"/>
                      <w:sz w:val="16"/>
                      <w:szCs w:val="16"/>
                    </w:rPr>
                    <w:t>LED Lamp: PAR30, 10 Watts, non-dimmable</w:t>
                  </w:r>
                </w:p>
                <w:p w14:paraId="023C4705" w14:textId="77777777" w:rsidR="00060C58" w:rsidRPr="001649C3" w:rsidRDefault="00060C58" w:rsidP="00060C58">
                  <w:pPr>
                    <w:tabs>
                      <w:tab w:val="right" w:pos="6732"/>
                    </w:tabs>
                    <w:rPr>
                      <w:rFonts w:cs="Arial"/>
                      <w:sz w:val="16"/>
                      <w:szCs w:val="16"/>
                    </w:rPr>
                  </w:pPr>
                  <w:r w:rsidRPr="001649C3">
                    <w:rPr>
                      <w:rFonts w:cs="Arial"/>
                      <w:sz w:val="16"/>
                      <w:szCs w:val="16"/>
                    </w:rPr>
                    <w:t>LED Lamp: PAR30, 9 Watts, non-dimmable</w:t>
                  </w:r>
                </w:p>
                <w:p w14:paraId="5D7D2D48" w14:textId="77777777" w:rsidR="00060C58" w:rsidRPr="001649C3" w:rsidRDefault="00060C58" w:rsidP="00060C58">
                  <w:pPr>
                    <w:tabs>
                      <w:tab w:val="right" w:pos="6732"/>
                    </w:tabs>
                    <w:rPr>
                      <w:rFonts w:cs="Arial"/>
                      <w:sz w:val="16"/>
                      <w:szCs w:val="16"/>
                    </w:rPr>
                  </w:pPr>
                  <w:r w:rsidRPr="001649C3">
                    <w:rPr>
                      <w:rFonts w:cs="Arial"/>
                      <w:sz w:val="16"/>
                      <w:szCs w:val="16"/>
                    </w:rPr>
                    <w:t>LED Lamp: PAR30, 8 Watts, non-dimmable</w:t>
                  </w:r>
                </w:p>
                <w:p w14:paraId="0D8AB9C2" w14:textId="571AB372" w:rsidR="00060C58" w:rsidRPr="003F0A54" w:rsidRDefault="00060C58" w:rsidP="00060C58">
                  <w:pPr>
                    <w:tabs>
                      <w:tab w:val="right" w:pos="6732"/>
                    </w:tabs>
                    <w:rPr>
                      <w:rFonts w:cs="Arial"/>
                      <w:sz w:val="16"/>
                      <w:szCs w:val="16"/>
                    </w:rPr>
                  </w:pPr>
                </w:p>
              </w:tc>
              <w:tc>
                <w:tcPr>
                  <w:tcW w:w="1079" w:type="dxa"/>
                  <w:vAlign w:val="center"/>
                </w:tcPr>
                <w:p w14:paraId="1E04FD6D" w14:textId="0020D0AA" w:rsidR="00060C58" w:rsidRPr="003F0A54" w:rsidRDefault="00060C58" w:rsidP="00060C58">
                  <w:pPr>
                    <w:tabs>
                      <w:tab w:val="right" w:pos="6732"/>
                    </w:tabs>
                    <w:jc w:val="center"/>
                    <w:rPr>
                      <w:rFonts w:cs="Arial"/>
                      <w:sz w:val="16"/>
                      <w:szCs w:val="16"/>
                    </w:rPr>
                  </w:pPr>
                  <w:r w:rsidRPr="001649C3">
                    <w:rPr>
                      <w:rFonts w:cs="Arial"/>
                      <w:sz w:val="16"/>
                      <w:szCs w:val="16"/>
                    </w:rPr>
                    <w:t xml:space="preserve">Total Watts = 2.34 x </w:t>
                  </w:r>
                  <w:proofErr w:type="spellStart"/>
                  <w:r w:rsidRPr="001649C3">
                    <w:rPr>
                      <w:rFonts w:cs="Arial"/>
                      <w:sz w:val="16"/>
                      <w:szCs w:val="16"/>
                    </w:rPr>
                    <w:t>Msr</w:t>
                  </w:r>
                  <w:proofErr w:type="spellEnd"/>
                  <w:r w:rsidRPr="001649C3">
                    <w:rPr>
                      <w:rFonts w:cs="Arial"/>
                      <w:sz w:val="16"/>
                      <w:szCs w:val="16"/>
                    </w:rPr>
                    <w:t xml:space="preserve"> Watts</w:t>
                  </w:r>
                </w:p>
              </w:tc>
              <w:tc>
                <w:tcPr>
                  <w:tcW w:w="1414" w:type="dxa"/>
                  <w:vAlign w:val="center"/>
                </w:tcPr>
                <w:p w14:paraId="05F1BF30" w14:textId="77777777" w:rsidR="00060C58" w:rsidRDefault="00060C58" w:rsidP="00060C58">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p w14:paraId="2640351C" w14:textId="77777777" w:rsidR="00060C58" w:rsidRDefault="00060C58" w:rsidP="00060C58">
                  <w:pPr>
                    <w:pStyle w:val="ListParagraph"/>
                    <w:numPr>
                      <w:ilvl w:val="0"/>
                      <w:numId w:val="17"/>
                    </w:numPr>
                    <w:tabs>
                      <w:tab w:val="right" w:pos="6732"/>
                    </w:tabs>
                    <w:rPr>
                      <w:rFonts w:cs="Arial"/>
                      <w:sz w:val="16"/>
                      <w:szCs w:val="16"/>
                    </w:rPr>
                  </w:pPr>
                  <w:proofErr w:type="spellStart"/>
                  <w:r>
                    <w:rPr>
                      <w:rFonts w:cs="Arial"/>
                      <w:sz w:val="16"/>
                      <w:szCs w:val="16"/>
                    </w:rPr>
                    <w:t>OutCommon</w:t>
                  </w:r>
                  <w:proofErr w:type="spellEnd"/>
                </w:p>
                <w:p w14:paraId="36991F14" w14:textId="08423C84" w:rsidR="00060C58" w:rsidRPr="00002DB8" w:rsidRDefault="00060C58" w:rsidP="00060C58">
                  <w:pPr>
                    <w:pStyle w:val="ListParagraph"/>
                    <w:numPr>
                      <w:ilvl w:val="0"/>
                      <w:numId w:val="17"/>
                    </w:numPr>
                    <w:tabs>
                      <w:tab w:val="right" w:pos="6732"/>
                    </w:tabs>
                    <w:rPr>
                      <w:rFonts w:cs="Arial"/>
                      <w:sz w:val="16"/>
                      <w:szCs w:val="16"/>
                    </w:rPr>
                  </w:pPr>
                  <w:proofErr w:type="spellStart"/>
                  <w:r>
                    <w:rPr>
                      <w:rFonts w:cs="Arial"/>
                      <w:sz w:val="16"/>
                      <w:szCs w:val="16"/>
                    </w:rPr>
                    <w:t>OutGen</w:t>
                  </w:r>
                  <w:proofErr w:type="spellEnd"/>
                </w:p>
              </w:tc>
            </w:tr>
            <w:tr w:rsidR="00060C58" w14:paraId="579B08A6" w14:textId="77777777" w:rsidTr="002101B6">
              <w:tc>
                <w:tcPr>
                  <w:tcW w:w="956" w:type="dxa"/>
                </w:tcPr>
                <w:p w14:paraId="54A68F2B" w14:textId="77777777" w:rsidR="00060C58" w:rsidRPr="003F0A54" w:rsidRDefault="00060C58" w:rsidP="00060C58">
                  <w:pPr>
                    <w:tabs>
                      <w:tab w:val="right" w:pos="6732"/>
                    </w:tabs>
                    <w:rPr>
                      <w:rFonts w:cs="Arial"/>
                      <w:sz w:val="16"/>
                      <w:szCs w:val="16"/>
                    </w:rPr>
                  </w:pPr>
                  <w:r>
                    <w:rPr>
                      <w:rFonts w:cs="Arial"/>
                      <w:sz w:val="16"/>
                      <w:szCs w:val="16"/>
                    </w:rPr>
                    <w:t>Downlight (</w:t>
                  </w:r>
                  <w:proofErr w:type="spellStart"/>
                  <w:r>
                    <w:rPr>
                      <w:rFonts w:cs="Arial"/>
                      <w:sz w:val="16"/>
                      <w:szCs w:val="16"/>
                    </w:rPr>
                    <w:t>CanRet</w:t>
                  </w:r>
                  <w:proofErr w:type="spellEnd"/>
                  <w:r>
                    <w:rPr>
                      <w:rFonts w:cs="Arial"/>
                      <w:sz w:val="16"/>
                      <w:szCs w:val="16"/>
                    </w:rPr>
                    <w:t>)</w:t>
                  </w:r>
                </w:p>
              </w:tc>
              <w:tc>
                <w:tcPr>
                  <w:tcW w:w="1081" w:type="dxa"/>
                </w:tcPr>
                <w:p w14:paraId="14CF59E3" w14:textId="77777777" w:rsidR="00060C58" w:rsidRDefault="00060C58" w:rsidP="00060C58">
                  <w:pPr>
                    <w:tabs>
                      <w:tab w:val="right" w:pos="6732"/>
                    </w:tabs>
                    <w:spacing w:after="100" w:afterAutospacing="1"/>
                    <w:ind w:right="-288"/>
                    <w:rPr>
                      <w:rFonts w:cs="Arial"/>
                      <w:sz w:val="16"/>
                      <w:szCs w:val="16"/>
                    </w:rPr>
                  </w:pPr>
                  <w:r w:rsidRPr="00532D27">
                    <w:rPr>
                      <w:rFonts w:cs="Arial"/>
                      <w:sz w:val="16"/>
                      <w:szCs w:val="16"/>
                    </w:rPr>
                    <w:t>Residential</w:t>
                  </w:r>
                  <w:r>
                    <w:rPr>
                      <w:rFonts w:cs="Arial"/>
                      <w:sz w:val="16"/>
                      <w:szCs w:val="16"/>
                    </w:rPr>
                    <w:t xml:space="preserve"> &amp; </w:t>
                  </w:r>
                </w:p>
                <w:p w14:paraId="71B81734" w14:textId="77777777" w:rsidR="00060C58" w:rsidRPr="00532D27" w:rsidRDefault="00060C58" w:rsidP="00060C58">
                  <w:pPr>
                    <w:tabs>
                      <w:tab w:val="right" w:pos="6732"/>
                    </w:tabs>
                    <w:spacing w:after="100" w:afterAutospacing="1"/>
                    <w:ind w:right="-288"/>
                    <w:rPr>
                      <w:rFonts w:cs="Arial"/>
                      <w:sz w:val="16"/>
                      <w:szCs w:val="16"/>
                    </w:rPr>
                  </w:pPr>
                  <w:r w:rsidRPr="00532D27">
                    <w:rPr>
                      <w:rFonts w:cs="Arial"/>
                      <w:sz w:val="16"/>
                      <w:szCs w:val="16"/>
                    </w:rPr>
                    <w:t>Commercial</w:t>
                  </w:r>
                </w:p>
              </w:tc>
              <w:tc>
                <w:tcPr>
                  <w:tcW w:w="3145" w:type="dxa"/>
                </w:tcPr>
                <w:p w14:paraId="3E5F1981" w14:textId="77777777" w:rsidR="00060C58" w:rsidRPr="002101B6" w:rsidRDefault="00060C58" w:rsidP="00060C58">
                  <w:pPr>
                    <w:tabs>
                      <w:tab w:val="right" w:pos="6732"/>
                    </w:tabs>
                    <w:rPr>
                      <w:rFonts w:cs="Arial"/>
                      <w:sz w:val="16"/>
                      <w:szCs w:val="16"/>
                    </w:rPr>
                  </w:pPr>
                  <w:r w:rsidRPr="002101B6">
                    <w:rPr>
                      <w:rFonts w:cs="Arial"/>
                      <w:sz w:val="16"/>
                      <w:szCs w:val="16"/>
                    </w:rPr>
                    <w:t>LED Lamp: Can Retrofit, 23 Watts</w:t>
                  </w:r>
                </w:p>
                <w:p w14:paraId="61624E31"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21 Watts, non-dimmable</w:t>
                  </w:r>
                </w:p>
                <w:p w14:paraId="135E8FF6" w14:textId="77777777" w:rsidR="00060C58" w:rsidRPr="002101B6" w:rsidRDefault="00060C58" w:rsidP="00060C58">
                  <w:pPr>
                    <w:tabs>
                      <w:tab w:val="right" w:pos="6732"/>
                    </w:tabs>
                    <w:rPr>
                      <w:rFonts w:cs="Arial"/>
                      <w:sz w:val="16"/>
                      <w:szCs w:val="16"/>
                    </w:rPr>
                  </w:pPr>
                  <w:r w:rsidRPr="002101B6">
                    <w:rPr>
                      <w:rFonts w:cs="Arial"/>
                      <w:sz w:val="16"/>
                      <w:szCs w:val="16"/>
                    </w:rPr>
                    <w:t>LED Lamp: Can Retrofit, 20 Watts</w:t>
                  </w:r>
                </w:p>
                <w:p w14:paraId="2DC581E5"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15 Watts, non-dimmable</w:t>
                  </w:r>
                </w:p>
                <w:p w14:paraId="0D150A82"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14 Watts, non-dimmable</w:t>
                  </w:r>
                </w:p>
                <w:p w14:paraId="7B40C84F"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13 Watts, non-dimmable</w:t>
                  </w:r>
                </w:p>
                <w:p w14:paraId="7F51698B"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12 Watts, non-dimmable</w:t>
                  </w:r>
                </w:p>
                <w:p w14:paraId="714AFA98"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11 Watts, non-dimmable</w:t>
                  </w:r>
                </w:p>
                <w:p w14:paraId="647C9838"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10 Watts, non-dimmable</w:t>
                  </w:r>
                </w:p>
                <w:p w14:paraId="1AE8980E" w14:textId="77777777" w:rsidR="00060C58" w:rsidRPr="002101B6"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9 Watts, non-dimmable</w:t>
                  </w:r>
                </w:p>
                <w:p w14:paraId="681E004A" w14:textId="77777777" w:rsidR="00060C58" w:rsidRPr="003F0A54" w:rsidRDefault="00060C58" w:rsidP="00060C58">
                  <w:pPr>
                    <w:tabs>
                      <w:tab w:val="right" w:pos="6732"/>
                    </w:tabs>
                    <w:rPr>
                      <w:rFonts w:cs="Arial"/>
                      <w:sz w:val="16"/>
                      <w:szCs w:val="16"/>
                    </w:rPr>
                  </w:pPr>
                  <w:r w:rsidRPr="002101B6">
                    <w:rPr>
                      <w:rFonts w:cs="Arial"/>
                      <w:sz w:val="16"/>
                      <w:szCs w:val="16"/>
                    </w:rPr>
                    <w:t xml:space="preserve">LED Lamp: </w:t>
                  </w:r>
                  <w:proofErr w:type="spellStart"/>
                  <w:r w:rsidRPr="002101B6">
                    <w:rPr>
                      <w:rFonts w:cs="Arial"/>
                      <w:sz w:val="16"/>
                      <w:szCs w:val="16"/>
                    </w:rPr>
                    <w:t>CanRet</w:t>
                  </w:r>
                  <w:proofErr w:type="spellEnd"/>
                  <w:r w:rsidRPr="002101B6">
                    <w:rPr>
                      <w:rFonts w:cs="Arial"/>
                      <w:sz w:val="16"/>
                      <w:szCs w:val="16"/>
                    </w:rPr>
                    <w:t>, 8 Watts, non-dimmable</w:t>
                  </w:r>
                </w:p>
              </w:tc>
              <w:tc>
                <w:tcPr>
                  <w:tcW w:w="1079" w:type="dxa"/>
                  <w:vAlign w:val="center"/>
                </w:tcPr>
                <w:p w14:paraId="61FE015B" w14:textId="77777777" w:rsidR="00060C58" w:rsidRPr="003F0A54" w:rsidRDefault="00060C58" w:rsidP="00060C58">
                  <w:pPr>
                    <w:tabs>
                      <w:tab w:val="right" w:pos="6732"/>
                    </w:tabs>
                    <w:rPr>
                      <w:rFonts w:cs="Arial"/>
                      <w:sz w:val="16"/>
                      <w:szCs w:val="16"/>
                    </w:rPr>
                  </w:pPr>
                  <w:r w:rsidRPr="005F0FB0">
                    <w:rPr>
                      <w:rFonts w:cs="Arial"/>
                      <w:sz w:val="16"/>
                      <w:szCs w:val="16"/>
                    </w:rPr>
                    <w:t xml:space="preserve">Total Watts = 2.34 x </w:t>
                  </w:r>
                  <w:proofErr w:type="spellStart"/>
                  <w:r w:rsidRPr="005F0FB0">
                    <w:rPr>
                      <w:rFonts w:cs="Arial"/>
                      <w:sz w:val="16"/>
                      <w:szCs w:val="16"/>
                    </w:rPr>
                    <w:t>Msr</w:t>
                  </w:r>
                  <w:proofErr w:type="spellEnd"/>
                  <w:r w:rsidRPr="005F0FB0">
                    <w:rPr>
                      <w:rFonts w:cs="Arial"/>
                      <w:sz w:val="16"/>
                      <w:szCs w:val="16"/>
                    </w:rPr>
                    <w:t xml:space="preserve"> Watts</w:t>
                  </w:r>
                </w:p>
              </w:tc>
              <w:tc>
                <w:tcPr>
                  <w:tcW w:w="1414" w:type="dxa"/>
                  <w:vAlign w:val="center"/>
                </w:tcPr>
                <w:p w14:paraId="6886DE2B" w14:textId="77777777" w:rsidR="00060C58" w:rsidRDefault="00060C58" w:rsidP="00060C58">
                  <w:pPr>
                    <w:pStyle w:val="ListParagraph"/>
                    <w:numPr>
                      <w:ilvl w:val="0"/>
                      <w:numId w:val="17"/>
                    </w:numPr>
                    <w:tabs>
                      <w:tab w:val="right" w:pos="6732"/>
                    </w:tabs>
                    <w:rPr>
                      <w:rFonts w:cs="Arial"/>
                      <w:sz w:val="16"/>
                      <w:szCs w:val="16"/>
                    </w:rPr>
                  </w:pPr>
                  <w:proofErr w:type="spellStart"/>
                  <w:r>
                    <w:rPr>
                      <w:rFonts w:cs="Arial"/>
                      <w:sz w:val="16"/>
                      <w:szCs w:val="16"/>
                    </w:rPr>
                    <w:t>InCommon</w:t>
                  </w:r>
                  <w:proofErr w:type="spellEnd"/>
                </w:p>
                <w:p w14:paraId="1905F6DC" w14:textId="77777777" w:rsidR="00060C58" w:rsidRDefault="00060C58" w:rsidP="00060C58">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p w14:paraId="14DC043B" w14:textId="77777777" w:rsidR="00060C58" w:rsidRPr="002101B6" w:rsidRDefault="00060C58" w:rsidP="00060C58">
                  <w:pPr>
                    <w:pStyle w:val="ListParagraph"/>
                    <w:tabs>
                      <w:tab w:val="right" w:pos="6732"/>
                    </w:tabs>
                    <w:ind w:left="360"/>
                    <w:jc w:val="center"/>
                    <w:rPr>
                      <w:rFonts w:cs="Arial"/>
                      <w:sz w:val="16"/>
                      <w:szCs w:val="16"/>
                    </w:rPr>
                  </w:pPr>
                </w:p>
              </w:tc>
            </w:tr>
          </w:tbl>
          <w:p w14:paraId="71A7B180" w14:textId="77777777" w:rsidR="009D06C6" w:rsidRPr="00555671" w:rsidRDefault="009D06C6" w:rsidP="009412A4">
            <w:pPr>
              <w:tabs>
                <w:tab w:val="right" w:pos="6732"/>
              </w:tabs>
              <w:jc w:val="both"/>
              <w:rPr>
                <w:rFonts w:cs="Arial"/>
                <w:sz w:val="20"/>
                <w:szCs w:val="20"/>
              </w:rPr>
            </w:pPr>
          </w:p>
        </w:tc>
      </w:tr>
      <w:tr w:rsidR="009412A4" w14:paraId="689F7270" w14:textId="77777777" w:rsidTr="009412A4">
        <w:trPr>
          <w:cantSplit/>
        </w:trPr>
        <w:tc>
          <w:tcPr>
            <w:tcW w:w="1440" w:type="dxa"/>
            <w:vAlign w:val="center"/>
          </w:tcPr>
          <w:p w14:paraId="5625F896" w14:textId="77777777" w:rsidR="009412A4" w:rsidRPr="001D77F7" w:rsidRDefault="009412A4" w:rsidP="009412A4">
            <w:pPr>
              <w:rPr>
                <w:b/>
              </w:rPr>
            </w:pPr>
            <w:r w:rsidRPr="001D77F7">
              <w:rPr>
                <w:b/>
              </w:rPr>
              <w:t xml:space="preserve">1.2 Technical Description </w:t>
            </w:r>
          </w:p>
        </w:tc>
        <w:tc>
          <w:tcPr>
            <w:tcW w:w="7910" w:type="dxa"/>
          </w:tcPr>
          <w:p w14:paraId="09BE67C4" w14:textId="77777777" w:rsidR="009412A4" w:rsidRPr="00241A1F" w:rsidRDefault="009412A4" w:rsidP="009412A4">
            <w:pPr>
              <w:rPr>
                <w:rFonts w:cs="Arial"/>
                <w:sz w:val="20"/>
                <w:szCs w:val="20"/>
              </w:rPr>
            </w:pPr>
          </w:p>
        </w:tc>
      </w:tr>
      <w:tr w:rsidR="009412A4" w:rsidRPr="008775D7" w14:paraId="4B2DA195" w14:textId="77777777" w:rsidTr="009412A4">
        <w:trPr>
          <w:cantSplit/>
        </w:trPr>
        <w:tc>
          <w:tcPr>
            <w:tcW w:w="1440" w:type="dxa"/>
          </w:tcPr>
          <w:p w14:paraId="47F62148" w14:textId="77777777" w:rsidR="009412A4" w:rsidRPr="00241A1F" w:rsidRDefault="009412A4" w:rsidP="009412A4">
            <w:pPr>
              <w:jc w:val="right"/>
              <w:rPr>
                <w:sz w:val="20"/>
                <w:szCs w:val="20"/>
              </w:rPr>
            </w:pPr>
            <w:r w:rsidRPr="00241A1F">
              <w:rPr>
                <w:sz w:val="20"/>
                <w:szCs w:val="20"/>
              </w:rPr>
              <w:t>Measures</w:t>
            </w:r>
          </w:p>
        </w:tc>
        <w:tc>
          <w:tcPr>
            <w:tcW w:w="7910" w:type="dxa"/>
          </w:tcPr>
          <w:p w14:paraId="4867A4E4" w14:textId="77777777" w:rsidR="009412A4" w:rsidRPr="00E733C7" w:rsidRDefault="003E3497" w:rsidP="009412A4">
            <w:pPr>
              <w:rPr>
                <w:rFonts w:cs="Arial"/>
                <w:sz w:val="20"/>
                <w:szCs w:val="20"/>
              </w:rPr>
            </w:pPr>
            <w:r>
              <w:rPr>
                <w:rFonts w:cs="Arial"/>
                <w:sz w:val="20"/>
                <w:szCs w:val="20"/>
              </w:rPr>
              <w:t xml:space="preserve">Adopted PEAR database </w:t>
            </w:r>
            <w:r w:rsidR="001050B7">
              <w:rPr>
                <w:rFonts w:cs="Arial"/>
                <w:sz w:val="20"/>
                <w:szCs w:val="20"/>
              </w:rPr>
              <w:t>“</w:t>
            </w:r>
            <w:r w:rsidR="001050B7" w:rsidRPr="001050B7">
              <w:rPr>
                <w:rFonts w:cs="Arial"/>
                <w:sz w:val="20"/>
                <w:szCs w:val="20"/>
              </w:rPr>
              <w:t>2018Phase1ScrewInLampDisposition</w:t>
            </w:r>
            <w:r w:rsidR="001050B7">
              <w:rPr>
                <w:rFonts w:cs="Arial"/>
                <w:sz w:val="20"/>
                <w:szCs w:val="20"/>
              </w:rPr>
              <w:t xml:space="preserve">” </w:t>
            </w:r>
            <w:r>
              <w:rPr>
                <w:rFonts w:cs="Arial"/>
                <w:sz w:val="20"/>
                <w:szCs w:val="20"/>
              </w:rPr>
              <w:t xml:space="preserve">measure description for </w:t>
            </w:r>
            <w:r w:rsidR="005C78DA">
              <w:rPr>
                <w:rFonts w:cs="Arial"/>
                <w:sz w:val="20"/>
                <w:szCs w:val="20"/>
              </w:rPr>
              <w:t>LED Recessed Downlight (</w:t>
            </w:r>
            <w:proofErr w:type="spellStart"/>
            <w:r w:rsidR="005C78DA">
              <w:rPr>
                <w:rFonts w:cs="Arial"/>
                <w:sz w:val="20"/>
                <w:szCs w:val="20"/>
              </w:rPr>
              <w:t>CanRet</w:t>
            </w:r>
            <w:proofErr w:type="spellEnd"/>
            <w:r w:rsidR="005C78DA">
              <w:rPr>
                <w:rFonts w:cs="Arial"/>
                <w:sz w:val="20"/>
                <w:szCs w:val="20"/>
              </w:rPr>
              <w:t>)</w:t>
            </w:r>
            <w:r w:rsidR="009412A4">
              <w:rPr>
                <w:rFonts w:cs="Arial"/>
                <w:sz w:val="20"/>
                <w:szCs w:val="20"/>
              </w:rPr>
              <w:t xml:space="preserve"> types. </w:t>
            </w:r>
          </w:p>
        </w:tc>
      </w:tr>
      <w:tr w:rsidR="009412A4" w:rsidRPr="008775D7" w14:paraId="4EC11712" w14:textId="77777777" w:rsidTr="009412A4">
        <w:trPr>
          <w:cantSplit/>
        </w:trPr>
        <w:tc>
          <w:tcPr>
            <w:tcW w:w="1440" w:type="dxa"/>
          </w:tcPr>
          <w:p w14:paraId="309CBA68" w14:textId="77777777" w:rsidR="009412A4" w:rsidRPr="00653C4B" w:rsidRDefault="009412A4" w:rsidP="009412A4">
            <w:pPr>
              <w:jc w:val="right"/>
              <w:rPr>
                <w:sz w:val="20"/>
                <w:szCs w:val="20"/>
              </w:rPr>
            </w:pPr>
            <w:r w:rsidRPr="00653C4B">
              <w:rPr>
                <w:sz w:val="20"/>
                <w:szCs w:val="20"/>
              </w:rPr>
              <w:t>Code for All Measures</w:t>
            </w:r>
          </w:p>
        </w:tc>
        <w:tc>
          <w:tcPr>
            <w:tcW w:w="7910" w:type="dxa"/>
          </w:tcPr>
          <w:p w14:paraId="07A7E321" w14:textId="77777777" w:rsidR="009412A4" w:rsidRPr="00653C4B" w:rsidRDefault="009412A4" w:rsidP="009412A4">
            <w:pPr>
              <w:jc w:val="both"/>
              <w:rPr>
                <w:rFonts w:cs="Arial"/>
                <w:sz w:val="20"/>
                <w:szCs w:val="20"/>
              </w:rPr>
            </w:pPr>
            <w:r>
              <w:rPr>
                <w:rFonts w:cs="Arial"/>
                <w:sz w:val="20"/>
                <w:szCs w:val="20"/>
              </w:rPr>
              <w:t>Halogen Incandescent or CFL A-lamp</w:t>
            </w:r>
          </w:p>
        </w:tc>
      </w:tr>
      <w:tr w:rsidR="009412A4" w14:paraId="53455FED" w14:textId="77777777" w:rsidTr="009412A4">
        <w:trPr>
          <w:cantSplit/>
        </w:trPr>
        <w:tc>
          <w:tcPr>
            <w:tcW w:w="1440" w:type="dxa"/>
          </w:tcPr>
          <w:p w14:paraId="609EDC36" w14:textId="77777777" w:rsidR="009412A4" w:rsidRPr="001D77F7" w:rsidRDefault="009412A4" w:rsidP="009412A4">
            <w:pPr>
              <w:jc w:val="right"/>
              <w:rPr>
                <w:b/>
              </w:rPr>
            </w:pPr>
            <w:r w:rsidRPr="00197677">
              <w:rPr>
                <w:rFonts w:cs="Arial"/>
                <w:sz w:val="20"/>
                <w:szCs w:val="20"/>
              </w:rPr>
              <w:lastRenderedPageBreak/>
              <w:t>Requirements</w:t>
            </w:r>
          </w:p>
        </w:tc>
        <w:tc>
          <w:tcPr>
            <w:tcW w:w="7910" w:type="dxa"/>
          </w:tcPr>
          <w:p w14:paraId="4972F92E" w14:textId="77777777" w:rsidR="005C78DA" w:rsidRPr="005C78DA" w:rsidRDefault="005C78DA" w:rsidP="005C78DA">
            <w:pPr>
              <w:jc w:val="both"/>
              <w:rPr>
                <w:b/>
                <w:sz w:val="20"/>
                <w:szCs w:val="20"/>
              </w:rPr>
            </w:pPr>
            <w:r w:rsidRPr="005C78DA">
              <w:rPr>
                <w:b/>
                <w:sz w:val="20"/>
                <w:szCs w:val="20"/>
              </w:rPr>
              <w:t>Program Requirements and Guidelines</w:t>
            </w:r>
          </w:p>
          <w:p w14:paraId="5ACE3353" w14:textId="77777777" w:rsidR="000342B8" w:rsidRDefault="005C78DA" w:rsidP="005C78DA">
            <w:pPr>
              <w:pStyle w:val="ListParagraph"/>
              <w:numPr>
                <w:ilvl w:val="1"/>
                <w:numId w:val="17"/>
              </w:numPr>
              <w:jc w:val="both"/>
              <w:rPr>
                <w:sz w:val="20"/>
                <w:szCs w:val="20"/>
              </w:rPr>
            </w:pPr>
            <w:r w:rsidRPr="000342B8">
              <w:rPr>
                <w:sz w:val="20"/>
                <w:szCs w:val="20"/>
              </w:rPr>
              <w:t>The delivery method is the Upstream and Upstream/Midstream Lighting Programs as well as our Direct Install programs.</w:t>
            </w:r>
            <w:r w:rsidR="000342B8" w:rsidRPr="000342B8">
              <w:rPr>
                <w:sz w:val="20"/>
                <w:szCs w:val="20"/>
              </w:rPr>
              <w:t xml:space="preserve"> </w:t>
            </w:r>
            <w:r w:rsidRPr="000342B8">
              <w:rPr>
                <w:sz w:val="20"/>
                <w:szCs w:val="20"/>
              </w:rPr>
              <w:t xml:space="preserve"> Rebates are based on a one-for-one replacement of incandescent or CFL fixtures up to 100 watts.</w:t>
            </w:r>
          </w:p>
          <w:p w14:paraId="3393DA49" w14:textId="77777777" w:rsidR="005C78DA" w:rsidRPr="000342B8" w:rsidRDefault="005C78DA" w:rsidP="005C78DA">
            <w:pPr>
              <w:pStyle w:val="ListParagraph"/>
              <w:numPr>
                <w:ilvl w:val="1"/>
                <w:numId w:val="17"/>
              </w:numPr>
              <w:jc w:val="both"/>
              <w:rPr>
                <w:sz w:val="20"/>
                <w:szCs w:val="20"/>
              </w:rPr>
            </w:pPr>
            <w:r w:rsidRPr="000342B8">
              <w:rPr>
                <w:sz w:val="20"/>
                <w:szCs w:val="20"/>
              </w:rPr>
              <w:t>Customers are responsible for verifying that new fixtures work with existing lighting controls.</w:t>
            </w:r>
          </w:p>
          <w:p w14:paraId="4A29E1E9" w14:textId="77777777" w:rsidR="005C78DA" w:rsidRPr="005C78DA" w:rsidRDefault="005C78DA" w:rsidP="005C78DA">
            <w:pPr>
              <w:jc w:val="both"/>
              <w:rPr>
                <w:b/>
                <w:sz w:val="20"/>
                <w:szCs w:val="20"/>
              </w:rPr>
            </w:pPr>
            <w:r w:rsidRPr="005C78DA">
              <w:rPr>
                <w:b/>
                <w:sz w:val="20"/>
                <w:szCs w:val="20"/>
              </w:rPr>
              <w:t>Program Restrictions and Guidelines</w:t>
            </w:r>
          </w:p>
          <w:p w14:paraId="43CC74BF" w14:textId="77777777" w:rsidR="000342B8" w:rsidRDefault="005C78DA" w:rsidP="005C78DA">
            <w:pPr>
              <w:jc w:val="both"/>
              <w:rPr>
                <w:sz w:val="20"/>
                <w:szCs w:val="20"/>
              </w:rPr>
            </w:pPr>
            <w:r w:rsidRPr="005C78DA">
              <w:rPr>
                <w:sz w:val="20"/>
                <w:szCs w:val="20"/>
              </w:rPr>
              <w:t>To qualify for a rebate, the following requirements must be met:</w:t>
            </w:r>
            <w:r w:rsidR="000342B8">
              <w:rPr>
                <w:sz w:val="20"/>
                <w:szCs w:val="20"/>
              </w:rPr>
              <w:t xml:space="preserve"> </w:t>
            </w:r>
          </w:p>
          <w:p w14:paraId="15A799B5" w14:textId="77777777" w:rsidR="000342B8" w:rsidRDefault="005C78DA" w:rsidP="005C78DA">
            <w:pPr>
              <w:pStyle w:val="ListParagraph"/>
              <w:numPr>
                <w:ilvl w:val="1"/>
                <w:numId w:val="17"/>
              </w:numPr>
              <w:jc w:val="both"/>
              <w:rPr>
                <w:sz w:val="20"/>
                <w:szCs w:val="20"/>
              </w:rPr>
            </w:pPr>
            <w:r w:rsidRPr="000342B8">
              <w:rPr>
                <w:sz w:val="20"/>
                <w:szCs w:val="20"/>
              </w:rPr>
              <w:t>All new LED retrofit kits must be on the ENERGY STAR qualified products list and be listed with the Department of Energy Lighting Facts Program.</w:t>
            </w:r>
          </w:p>
          <w:p w14:paraId="59C071D2" w14:textId="77777777" w:rsidR="000342B8" w:rsidRDefault="005C78DA" w:rsidP="005C78DA">
            <w:pPr>
              <w:pStyle w:val="ListParagraph"/>
              <w:numPr>
                <w:ilvl w:val="1"/>
                <w:numId w:val="17"/>
              </w:numPr>
              <w:jc w:val="both"/>
              <w:rPr>
                <w:sz w:val="20"/>
                <w:szCs w:val="20"/>
              </w:rPr>
            </w:pPr>
            <w:r w:rsidRPr="000342B8">
              <w:rPr>
                <w:sz w:val="20"/>
                <w:szCs w:val="20"/>
              </w:rPr>
              <w:t>LED Downlight retrofit kits must be fully integrated (including lamp, driver, and socket adapter), replacing R20, BR20, ER20 incandescent, or R30, BR30, ER30, R40, BR40, or ER40 incandescent or integral CFL lamps in recessed can fixtures.</w:t>
            </w:r>
          </w:p>
          <w:p w14:paraId="46DB608D" w14:textId="77777777" w:rsidR="000342B8" w:rsidRDefault="005C78DA" w:rsidP="005C78DA">
            <w:pPr>
              <w:pStyle w:val="ListParagraph"/>
              <w:numPr>
                <w:ilvl w:val="1"/>
                <w:numId w:val="17"/>
              </w:numPr>
              <w:jc w:val="both"/>
              <w:rPr>
                <w:sz w:val="20"/>
                <w:szCs w:val="20"/>
              </w:rPr>
            </w:pPr>
            <w:r w:rsidRPr="000342B8">
              <w:rPr>
                <w:sz w:val="20"/>
                <w:szCs w:val="20"/>
              </w:rPr>
              <w:t>LED screw-in lamps are not eligible under these measures.</w:t>
            </w:r>
          </w:p>
          <w:p w14:paraId="6913E433" w14:textId="77777777" w:rsidR="000342B8" w:rsidRDefault="005C78DA" w:rsidP="005C78DA">
            <w:pPr>
              <w:pStyle w:val="ListParagraph"/>
              <w:numPr>
                <w:ilvl w:val="1"/>
                <w:numId w:val="17"/>
              </w:numPr>
              <w:jc w:val="both"/>
              <w:rPr>
                <w:sz w:val="20"/>
                <w:szCs w:val="20"/>
              </w:rPr>
            </w:pPr>
            <w:r w:rsidRPr="000342B8">
              <w:rPr>
                <w:sz w:val="20"/>
                <w:szCs w:val="20"/>
              </w:rPr>
              <w:t xml:space="preserve">The LEDs must meet a minimum luminaire efficacy of 42 </w:t>
            </w:r>
            <w:proofErr w:type="spellStart"/>
            <w:r w:rsidRPr="000342B8">
              <w:rPr>
                <w:sz w:val="20"/>
                <w:szCs w:val="20"/>
              </w:rPr>
              <w:t>lm</w:t>
            </w:r>
            <w:proofErr w:type="spellEnd"/>
            <w:r w:rsidRPr="000342B8">
              <w:rPr>
                <w:sz w:val="20"/>
                <w:szCs w:val="20"/>
              </w:rPr>
              <w:t>/W.</w:t>
            </w:r>
          </w:p>
          <w:p w14:paraId="3B2676B5" w14:textId="771FE30E" w:rsidR="000342B8" w:rsidRDefault="005C78DA" w:rsidP="005C78DA">
            <w:pPr>
              <w:pStyle w:val="ListParagraph"/>
              <w:numPr>
                <w:ilvl w:val="1"/>
                <w:numId w:val="17"/>
              </w:numPr>
              <w:jc w:val="both"/>
              <w:rPr>
                <w:sz w:val="20"/>
                <w:szCs w:val="20"/>
              </w:rPr>
            </w:pPr>
            <w:r w:rsidRPr="000342B8">
              <w:rPr>
                <w:sz w:val="20"/>
                <w:szCs w:val="20"/>
              </w:rPr>
              <w:t>Downlights intended for installation in insulated ceilings shall be IC rated and be leak tested per ASTM E-283 standard test method to demonstrate no more than 2.0 cfm at 75 Pa pressure difference, and must display a label certifying “airtight” or similar designation which shows accordance with this requirement.</w:t>
            </w:r>
          </w:p>
          <w:p w14:paraId="4DA4D319" w14:textId="77777777" w:rsidR="005C78DA" w:rsidRPr="000342B8" w:rsidRDefault="005C78DA" w:rsidP="005C78DA">
            <w:pPr>
              <w:pStyle w:val="ListParagraph"/>
              <w:numPr>
                <w:ilvl w:val="1"/>
                <w:numId w:val="17"/>
              </w:numPr>
              <w:jc w:val="both"/>
              <w:rPr>
                <w:sz w:val="20"/>
                <w:szCs w:val="20"/>
              </w:rPr>
            </w:pPr>
            <w:r w:rsidRPr="000342B8">
              <w:rPr>
                <w:sz w:val="20"/>
                <w:szCs w:val="20"/>
              </w:rPr>
              <w:t>A product cut sheet must be provided.</w:t>
            </w:r>
          </w:p>
          <w:p w14:paraId="47433BA6" w14:textId="77777777" w:rsidR="005C78DA" w:rsidRPr="005C78DA" w:rsidRDefault="005C78DA" w:rsidP="005C78DA">
            <w:pPr>
              <w:jc w:val="both"/>
              <w:rPr>
                <w:b/>
                <w:sz w:val="20"/>
                <w:szCs w:val="20"/>
              </w:rPr>
            </w:pPr>
            <w:r w:rsidRPr="005C78DA">
              <w:rPr>
                <w:b/>
                <w:sz w:val="20"/>
                <w:szCs w:val="20"/>
              </w:rPr>
              <w:t>Terms and Conditions</w:t>
            </w:r>
          </w:p>
          <w:p w14:paraId="795439C6" w14:textId="77777777" w:rsidR="005C78DA" w:rsidRDefault="005C78DA" w:rsidP="005C78DA">
            <w:pPr>
              <w:jc w:val="both"/>
              <w:rPr>
                <w:sz w:val="20"/>
                <w:szCs w:val="20"/>
              </w:rPr>
            </w:pPr>
            <w:r w:rsidRPr="005C78DA">
              <w:rPr>
                <w:sz w:val="20"/>
                <w:szCs w:val="20"/>
              </w:rPr>
              <w:t xml:space="preserve">The customer must be a residential </w:t>
            </w:r>
            <w:r w:rsidR="000342B8">
              <w:rPr>
                <w:sz w:val="20"/>
                <w:szCs w:val="20"/>
              </w:rPr>
              <w:t>SDG</w:t>
            </w:r>
            <w:r w:rsidRPr="005C78DA">
              <w:rPr>
                <w:sz w:val="20"/>
                <w:szCs w:val="20"/>
              </w:rPr>
              <w:t>&amp;E electrical customer.</w:t>
            </w:r>
          </w:p>
          <w:p w14:paraId="2F396567" w14:textId="77777777" w:rsidR="000342B8" w:rsidRPr="005C78DA" w:rsidRDefault="000342B8" w:rsidP="005C78DA">
            <w:pPr>
              <w:jc w:val="both"/>
              <w:rPr>
                <w:sz w:val="20"/>
                <w:szCs w:val="20"/>
              </w:rPr>
            </w:pPr>
          </w:p>
          <w:p w14:paraId="47F3FFA7" w14:textId="77777777" w:rsidR="005C78DA" w:rsidRPr="000342B8" w:rsidRDefault="005C78DA" w:rsidP="005C78DA">
            <w:pPr>
              <w:jc w:val="both"/>
              <w:rPr>
                <w:b/>
                <w:sz w:val="20"/>
                <w:szCs w:val="20"/>
              </w:rPr>
            </w:pPr>
            <w:r w:rsidRPr="000342B8">
              <w:rPr>
                <w:b/>
                <w:sz w:val="20"/>
                <w:szCs w:val="20"/>
              </w:rPr>
              <w:t>Market Applicability</w:t>
            </w:r>
          </w:p>
          <w:p w14:paraId="76A37E55" w14:textId="77777777" w:rsidR="005C78DA" w:rsidRPr="005C78DA" w:rsidRDefault="005C78DA" w:rsidP="005C78DA">
            <w:pPr>
              <w:jc w:val="both"/>
              <w:rPr>
                <w:sz w:val="20"/>
                <w:szCs w:val="20"/>
              </w:rPr>
            </w:pPr>
            <w:r w:rsidRPr="005C78DA">
              <w:rPr>
                <w:sz w:val="20"/>
                <w:szCs w:val="20"/>
              </w:rPr>
              <w:t>Single and multi-family installations are eligible. Fixtures with incandescent reflector lamps are mostly used in residential sector, including multifamily.</w:t>
            </w:r>
          </w:p>
          <w:p w14:paraId="79328CD2" w14:textId="77777777" w:rsidR="005C78DA" w:rsidRDefault="005C78DA" w:rsidP="005C78DA">
            <w:pPr>
              <w:jc w:val="both"/>
              <w:rPr>
                <w:sz w:val="20"/>
                <w:szCs w:val="20"/>
              </w:rPr>
            </w:pPr>
          </w:p>
          <w:p w14:paraId="23513D91" w14:textId="77777777" w:rsidR="005C78DA" w:rsidRDefault="005C78DA" w:rsidP="000342B8">
            <w:pPr>
              <w:jc w:val="center"/>
              <w:rPr>
                <w:sz w:val="20"/>
                <w:szCs w:val="20"/>
              </w:rPr>
            </w:pPr>
            <w:r w:rsidRPr="005C78DA">
              <w:rPr>
                <w:sz w:val="20"/>
                <w:szCs w:val="20"/>
              </w:rPr>
              <w:t>Delivery Method and Applicable Building Types Delivery Type Applicable Building Types</w:t>
            </w:r>
          </w:p>
          <w:tbl>
            <w:tblPr>
              <w:tblStyle w:val="TableGrid"/>
              <w:tblW w:w="0" w:type="auto"/>
              <w:tblInd w:w="595" w:type="dxa"/>
              <w:tblLook w:val="04A0" w:firstRow="1" w:lastRow="0" w:firstColumn="1" w:lastColumn="0" w:noHBand="0" w:noVBand="1"/>
            </w:tblPr>
            <w:tblGrid>
              <w:gridCol w:w="1980"/>
              <w:gridCol w:w="2430"/>
              <w:gridCol w:w="1980"/>
            </w:tblGrid>
            <w:tr w:rsidR="000342B8" w:rsidRPr="000342B8" w14:paraId="6483DCDA" w14:textId="77777777" w:rsidTr="000342B8">
              <w:trPr>
                <w:trHeight w:val="93"/>
              </w:trPr>
              <w:tc>
                <w:tcPr>
                  <w:tcW w:w="1980" w:type="dxa"/>
                </w:tcPr>
                <w:p w14:paraId="7EB39F17"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b/>
                      <w:bCs/>
                      <w:color w:val="000000"/>
                      <w:sz w:val="20"/>
                      <w:szCs w:val="20"/>
                    </w:rPr>
                    <w:t>Delivery Type</w:t>
                  </w:r>
                </w:p>
              </w:tc>
              <w:tc>
                <w:tcPr>
                  <w:tcW w:w="2430" w:type="dxa"/>
                </w:tcPr>
                <w:p w14:paraId="4BEB3722"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b/>
                      <w:bCs/>
                      <w:color w:val="000000"/>
                      <w:sz w:val="20"/>
                      <w:szCs w:val="20"/>
                    </w:rPr>
                    <w:t>Applicable Building Types</w:t>
                  </w:r>
                </w:p>
              </w:tc>
              <w:tc>
                <w:tcPr>
                  <w:tcW w:w="1980" w:type="dxa"/>
                </w:tcPr>
                <w:p w14:paraId="19AEDDE8"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b/>
                      <w:bCs/>
                      <w:color w:val="000000"/>
                      <w:sz w:val="20"/>
                      <w:szCs w:val="20"/>
                    </w:rPr>
                    <w:t>Application Type</w:t>
                  </w:r>
                </w:p>
              </w:tc>
            </w:tr>
            <w:tr w:rsidR="000342B8" w:rsidRPr="000342B8" w14:paraId="114E3675" w14:textId="77777777" w:rsidTr="000342B8">
              <w:trPr>
                <w:trHeight w:val="93"/>
              </w:trPr>
              <w:tc>
                <w:tcPr>
                  <w:tcW w:w="1980" w:type="dxa"/>
                </w:tcPr>
                <w:p w14:paraId="31BC93A7"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color w:val="000000"/>
                      <w:sz w:val="20"/>
                      <w:szCs w:val="20"/>
                    </w:rPr>
                    <w:t>Upstream</w:t>
                  </w:r>
                </w:p>
              </w:tc>
              <w:tc>
                <w:tcPr>
                  <w:tcW w:w="2430" w:type="dxa"/>
                </w:tcPr>
                <w:p w14:paraId="2A793C32"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color w:val="000000"/>
                      <w:sz w:val="20"/>
                      <w:szCs w:val="20"/>
                    </w:rPr>
                    <w:t>“Com,” “Res”</w:t>
                  </w:r>
                </w:p>
              </w:tc>
              <w:tc>
                <w:tcPr>
                  <w:tcW w:w="1980" w:type="dxa"/>
                </w:tcPr>
                <w:p w14:paraId="08070B6E"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color w:val="000000"/>
                      <w:sz w:val="20"/>
                      <w:szCs w:val="20"/>
                    </w:rPr>
                    <w:t>ROB</w:t>
                  </w:r>
                </w:p>
              </w:tc>
            </w:tr>
            <w:tr w:rsidR="000342B8" w:rsidRPr="000342B8" w14:paraId="01115820" w14:textId="77777777" w:rsidTr="000342B8">
              <w:trPr>
                <w:trHeight w:val="93"/>
              </w:trPr>
              <w:tc>
                <w:tcPr>
                  <w:tcW w:w="1980" w:type="dxa"/>
                </w:tcPr>
                <w:p w14:paraId="008BE287"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color w:val="000000"/>
                      <w:sz w:val="20"/>
                      <w:szCs w:val="20"/>
                    </w:rPr>
                    <w:t>Downstream</w:t>
                  </w:r>
                </w:p>
              </w:tc>
              <w:tc>
                <w:tcPr>
                  <w:tcW w:w="2430" w:type="dxa"/>
                </w:tcPr>
                <w:p w14:paraId="117DF51E"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color w:val="000000"/>
                      <w:sz w:val="20"/>
                      <w:szCs w:val="20"/>
                    </w:rPr>
                    <w:t>“MFm”</w:t>
                  </w:r>
                  <w:r>
                    <w:rPr>
                      <w:rFonts w:eastAsiaTheme="minorHAnsi" w:cstheme="minorHAnsi"/>
                      <w:color w:val="000000"/>
                      <w:sz w:val="20"/>
                      <w:szCs w:val="20"/>
                    </w:rPr>
                    <w:t>, “Res”, “Com”</w:t>
                  </w:r>
                </w:p>
              </w:tc>
              <w:tc>
                <w:tcPr>
                  <w:tcW w:w="1980" w:type="dxa"/>
                </w:tcPr>
                <w:p w14:paraId="2831297D" w14:textId="77777777" w:rsidR="000342B8" w:rsidRPr="000342B8" w:rsidRDefault="000342B8" w:rsidP="000342B8">
                  <w:pPr>
                    <w:autoSpaceDE w:val="0"/>
                    <w:autoSpaceDN w:val="0"/>
                    <w:adjustRightInd w:val="0"/>
                    <w:rPr>
                      <w:rFonts w:eastAsiaTheme="minorHAnsi" w:cstheme="minorHAnsi"/>
                      <w:color w:val="000000"/>
                      <w:sz w:val="20"/>
                      <w:szCs w:val="20"/>
                    </w:rPr>
                  </w:pPr>
                  <w:r w:rsidRPr="000342B8">
                    <w:rPr>
                      <w:rFonts w:eastAsiaTheme="minorHAnsi" w:cstheme="minorHAnsi"/>
                      <w:color w:val="000000"/>
                      <w:sz w:val="20"/>
                      <w:szCs w:val="20"/>
                    </w:rPr>
                    <w:t>ROB</w:t>
                  </w:r>
                </w:p>
              </w:tc>
            </w:tr>
          </w:tbl>
          <w:p w14:paraId="116E65D5" w14:textId="77777777" w:rsidR="009412A4" w:rsidRPr="00555671" w:rsidRDefault="009412A4" w:rsidP="005C78DA">
            <w:pPr>
              <w:jc w:val="both"/>
              <w:rPr>
                <w:sz w:val="20"/>
                <w:szCs w:val="20"/>
              </w:rPr>
            </w:pPr>
          </w:p>
        </w:tc>
      </w:tr>
      <w:tr w:rsidR="009412A4" w14:paraId="55159496" w14:textId="77777777" w:rsidTr="009412A4">
        <w:trPr>
          <w:cantSplit/>
        </w:trPr>
        <w:tc>
          <w:tcPr>
            <w:tcW w:w="1440" w:type="dxa"/>
          </w:tcPr>
          <w:p w14:paraId="277DF5FE" w14:textId="77777777" w:rsidR="009412A4" w:rsidRPr="001D77F7" w:rsidRDefault="009412A4" w:rsidP="009412A4">
            <w:pPr>
              <w:rPr>
                <w:b/>
              </w:rPr>
            </w:pPr>
            <w:r w:rsidRPr="001D77F7">
              <w:rPr>
                <w:b/>
              </w:rPr>
              <w:t>1.3 Installation Type and Delivery Mechanisms</w:t>
            </w:r>
          </w:p>
        </w:tc>
        <w:tc>
          <w:tcPr>
            <w:tcW w:w="7910" w:type="dxa"/>
          </w:tcPr>
          <w:p w14:paraId="2652E485" w14:textId="77777777" w:rsidR="009412A4" w:rsidRPr="00D86243" w:rsidRDefault="009412A4" w:rsidP="009412A4">
            <w:pPr>
              <w:rPr>
                <w:rFonts w:cs="Arial"/>
                <w:sz w:val="20"/>
                <w:szCs w:val="20"/>
              </w:rPr>
            </w:pPr>
          </w:p>
        </w:tc>
      </w:tr>
      <w:tr w:rsidR="009412A4" w14:paraId="2974E3E7" w14:textId="77777777" w:rsidTr="009412A4">
        <w:trPr>
          <w:cantSplit/>
        </w:trPr>
        <w:tc>
          <w:tcPr>
            <w:tcW w:w="1440" w:type="dxa"/>
            <w:vAlign w:val="center"/>
          </w:tcPr>
          <w:p w14:paraId="37F22944" w14:textId="77777777" w:rsidR="009412A4" w:rsidRPr="00822B6F" w:rsidRDefault="009412A4" w:rsidP="009412A4">
            <w:pPr>
              <w:jc w:val="right"/>
              <w:rPr>
                <w:sz w:val="20"/>
                <w:szCs w:val="20"/>
              </w:rPr>
            </w:pPr>
            <w:r w:rsidRPr="00822B6F">
              <w:rPr>
                <w:sz w:val="20"/>
                <w:szCs w:val="20"/>
              </w:rPr>
              <w:t>Installation Type</w:t>
            </w:r>
          </w:p>
        </w:tc>
        <w:tc>
          <w:tcPr>
            <w:tcW w:w="7910" w:type="dxa"/>
          </w:tcPr>
          <w:p w14:paraId="6025E952" w14:textId="77777777" w:rsidR="009412A4" w:rsidRPr="00393EC8" w:rsidRDefault="009412A4" w:rsidP="009412A4">
            <w:pPr>
              <w:rPr>
                <w:rFonts w:cs="Arial"/>
                <w:sz w:val="20"/>
                <w:szCs w:val="20"/>
              </w:rPr>
            </w:pPr>
            <w:r w:rsidRPr="00FE636E">
              <w:rPr>
                <w:rFonts w:cs="Arial"/>
                <w:sz w:val="20"/>
                <w:szCs w:val="20"/>
              </w:rPr>
              <w:t xml:space="preserve">Replace on Burn-out (ROB) </w:t>
            </w:r>
          </w:p>
        </w:tc>
      </w:tr>
      <w:tr w:rsidR="009412A4" w14:paraId="24668810" w14:textId="77777777" w:rsidTr="009412A4">
        <w:trPr>
          <w:cantSplit/>
        </w:trPr>
        <w:tc>
          <w:tcPr>
            <w:tcW w:w="1440" w:type="dxa"/>
            <w:vAlign w:val="center"/>
          </w:tcPr>
          <w:p w14:paraId="0457EB17" w14:textId="77777777" w:rsidR="009412A4" w:rsidRPr="00822B6F" w:rsidRDefault="009412A4" w:rsidP="009412A4">
            <w:pPr>
              <w:jc w:val="right"/>
              <w:rPr>
                <w:sz w:val="20"/>
                <w:szCs w:val="20"/>
              </w:rPr>
            </w:pPr>
            <w:r w:rsidRPr="00822B6F">
              <w:rPr>
                <w:sz w:val="20"/>
                <w:szCs w:val="20"/>
              </w:rPr>
              <w:t>Delivery Mechanisms</w:t>
            </w:r>
          </w:p>
        </w:tc>
        <w:tc>
          <w:tcPr>
            <w:tcW w:w="7910" w:type="dxa"/>
          </w:tcPr>
          <w:p w14:paraId="3BE2807C" w14:textId="77777777" w:rsidR="009412A4" w:rsidRDefault="009412A4" w:rsidP="009412A4">
            <w:pPr>
              <w:rPr>
                <w:rFonts w:cs="Arial"/>
                <w:sz w:val="20"/>
                <w:szCs w:val="20"/>
              </w:rPr>
            </w:pPr>
            <w:r>
              <w:rPr>
                <w:rFonts w:cs="Arial"/>
                <w:sz w:val="20"/>
                <w:szCs w:val="20"/>
              </w:rPr>
              <w:t>Upstream Incentives</w:t>
            </w:r>
          </w:p>
          <w:p w14:paraId="7B67F88C" w14:textId="77777777" w:rsidR="009412A4" w:rsidRDefault="009412A4" w:rsidP="009412A4">
            <w:pPr>
              <w:rPr>
                <w:rFonts w:cs="Arial"/>
                <w:sz w:val="20"/>
                <w:szCs w:val="20"/>
              </w:rPr>
            </w:pPr>
            <w:r w:rsidRPr="00FE636E">
              <w:rPr>
                <w:rFonts w:cs="Arial"/>
                <w:sz w:val="20"/>
                <w:szCs w:val="20"/>
              </w:rPr>
              <w:t>Downstream Rebate</w:t>
            </w:r>
          </w:p>
          <w:p w14:paraId="5EB71B74" w14:textId="77777777" w:rsidR="009412A4" w:rsidRDefault="009412A4" w:rsidP="009412A4">
            <w:pPr>
              <w:rPr>
                <w:rFonts w:cs="Arial"/>
                <w:sz w:val="20"/>
                <w:szCs w:val="20"/>
              </w:rPr>
            </w:pPr>
            <w:r>
              <w:rPr>
                <w:rFonts w:cs="Arial"/>
                <w:sz w:val="20"/>
                <w:szCs w:val="20"/>
              </w:rPr>
              <w:t>Direct Install</w:t>
            </w:r>
          </w:p>
          <w:p w14:paraId="31A51013" w14:textId="77777777" w:rsidR="009412A4" w:rsidRPr="00FE636E" w:rsidRDefault="009412A4" w:rsidP="009412A4">
            <w:pPr>
              <w:rPr>
                <w:rFonts w:cs="Arial"/>
                <w:sz w:val="20"/>
                <w:szCs w:val="20"/>
              </w:rPr>
            </w:pPr>
          </w:p>
        </w:tc>
      </w:tr>
      <w:tr w:rsidR="009412A4" w14:paraId="371677B5" w14:textId="77777777" w:rsidTr="009412A4">
        <w:trPr>
          <w:cantSplit/>
        </w:trPr>
        <w:tc>
          <w:tcPr>
            <w:tcW w:w="1440" w:type="dxa"/>
          </w:tcPr>
          <w:p w14:paraId="0C7E9B84" w14:textId="77777777" w:rsidR="009412A4" w:rsidRPr="001D77F7" w:rsidRDefault="009412A4" w:rsidP="009412A4">
            <w:pPr>
              <w:rPr>
                <w:b/>
              </w:rPr>
            </w:pPr>
            <w:r w:rsidRPr="001D77F7">
              <w:rPr>
                <w:b/>
              </w:rPr>
              <w:t>1.4.1 DEER Data</w:t>
            </w:r>
          </w:p>
        </w:tc>
        <w:tc>
          <w:tcPr>
            <w:tcW w:w="7910" w:type="dxa"/>
          </w:tcPr>
          <w:p w14:paraId="7020D84A" w14:textId="77777777" w:rsidR="009412A4" w:rsidRDefault="009412A4" w:rsidP="009412A4"/>
        </w:tc>
      </w:tr>
      <w:tr w:rsidR="009412A4" w14:paraId="01324903" w14:textId="77777777" w:rsidTr="009412A4">
        <w:trPr>
          <w:cantSplit/>
        </w:trPr>
        <w:tc>
          <w:tcPr>
            <w:tcW w:w="1440" w:type="dxa"/>
            <w:vAlign w:val="center"/>
          </w:tcPr>
          <w:p w14:paraId="73FB3916" w14:textId="77777777" w:rsidR="009412A4" w:rsidRPr="00822B6F" w:rsidRDefault="009412A4" w:rsidP="009412A4">
            <w:pPr>
              <w:jc w:val="right"/>
              <w:rPr>
                <w:sz w:val="20"/>
                <w:szCs w:val="20"/>
              </w:rPr>
            </w:pPr>
            <w:r w:rsidRPr="00822B6F">
              <w:rPr>
                <w:sz w:val="20"/>
                <w:szCs w:val="20"/>
              </w:rPr>
              <w:lastRenderedPageBreak/>
              <w:t>Net-to-Gross Ratio</w:t>
            </w:r>
          </w:p>
        </w:tc>
        <w:tc>
          <w:tcPr>
            <w:tcW w:w="7910" w:type="dxa"/>
          </w:tcPr>
          <w:p w14:paraId="07C9F523" w14:textId="77777777" w:rsidR="009412A4" w:rsidRDefault="009412A4" w:rsidP="009412A4">
            <w:pPr>
              <w:tabs>
                <w:tab w:val="right" w:pos="6732"/>
              </w:tabs>
              <w:rPr>
                <w:rFonts w:cs="Arial"/>
                <w:sz w:val="20"/>
                <w:szCs w:val="20"/>
              </w:rPr>
            </w:pPr>
            <w:r>
              <w:rPr>
                <w:rFonts w:cs="Arial"/>
                <w:sz w:val="20"/>
                <w:szCs w:val="20"/>
              </w:rPr>
              <w:t>In SDG&amp;E/SCG bi-weekly call, the Commission Staff provided details to their PEAR</w:t>
            </w:r>
            <w:r w:rsidR="00C32902">
              <w:rPr>
                <w:rFonts w:cs="Arial"/>
                <w:sz w:val="20"/>
                <w:szCs w:val="20"/>
              </w:rPr>
              <w:t xml:space="preserve"> </w:t>
            </w:r>
            <w:r>
              <w:rPr>
                <w:rFonts w:cs="Arial"/>
                <w:sz w:val="20"/>
                <w:szCs w:val="20"/>
              </w:rPr>
              <w:t>d</w:t>
            </w:r>
            <w:r w:rsidR="00C32902">
              <w:rPr>
                <w:rFonts w:cs="Arial"/>
                <w:sz w:val="20"/>
                <w:szCs w:val="20"/>
              </w:rPr>
              <w:t>atabase</w:t>
            </w:r>
            <w:r>
              <w:rPr>
                <w:rFonts w:cs="Arial"/>
                <w:sz w:val="20"/>
                <w:szCs w:val="20"/>
              </w:rPr>
              <w:t xml:space="preserve"> values, including new NTG values reflective of the screw-in disposition.  These NTG IDs are used for both A-lamps</w:t>
            </w:r>
            <w:r w:rsidR="00C32902">
              <w:rPr>
                <w:rFonts w:cs="Arial"/>
                <w:sz w:val="20"/>
                <w:szCs w:val="20"/>
              </w:rPr>
              <w:t>, PARs, R-BR, Candelabra, and Globes LED Lamp types.</w:t>
            </w:r>
          </w:p>
          <w:p w14:paraId="69CDE1CE" w14:textId="77777777" w:rsidR="00C32902" w:rsidRDefault="00C32902" w:rsidP="009412A4">
            <w:pPr>
              <w:tabs>
                <w:tab w:val="right" w:pos="6732"/>
              </w:tabs>
              <w:rPr>
                <w:rFonts w:cs="Arial"/>
                <w:sz w:val="20"/>
                <w:szCs w:val="20"/>
              </w:rPr>
            </w:pPr>
          </w:p>
          <w:p w14:paraId="1A5C8E7B" w14:textId="77777777" w:rsidR="00C32902" w:rsidRDefault="00C32902" w:rsidP="009412A4">
            <w:pPr>
              <w:tabs>
                <w:tab w:val="right" w:pos="6732"/>
              </w:tabs>
              <w:rPr>
                <w:rFonts w:cs="Arial"/>
                <w:sz w:val="20"/>
                <w:szCs w:val="20"/>
              </w:rPr>
            </w:pPr>
            <w:r>
              <w:rPr>
                <w:rFonts w:cs="Arial"/>
                <w:sz w:val="20"/>
                <w:szCs w:val="20"/>
              </w:rPr>
              <w:t>Expire on 6/30/2018</w:t>
            </w:r>
          </w:p>
          <w:p w14:paraId="6BD2B4B6" w14:textId="77777777" w:rsidR="009412A4" w:rsidRPr="00C32902" w:rsidRDefault="009412A4" w:rsidP="00C32902">
            <w:pPr>
              <w:pStyle w:val="ListParagraph"/>
              <w:numPr>
                <w:ilvl w:val="0"/>
                <w:numId w:val="19"/>
              </w:numPr>
              <w:tabs>
                <w:tab w:val="right" w:pos="6732"/>
              </w:tabs>
              <w:rPr>
                <w:rFonts w:cs="Arial"/>
                <w:sz w:val="20"/>
                <w:szCs w:val="20"/>
              </w:rPr>
            </w:pPr>
            <w:proofErr w:type="spellStart"/>
            <w:r w:rsidRPr="00C32902">
              <w:rPr>
                <w:rFonts w:cs="Arial"/>
                <w:sz w:val="20"/>
                <w:szCs w:val="20"/>
              </w:rPr>
              <w:t>NonRes-sAll-mLEDARefl</w:t>
            </w:r>
            <w:proofErr w:type="spellEnd"/>
            <w:r w:rsidRPr="00C32902">
              <w:rPr>
                <w:rFonts w:cs="Arial"/>
                <w:sz w:val="20"/>
                <w:szCs w:val="20"/>
              </w:rPr>
              <w:t xml:space="preserve"> for nonresidential LED A-lamp and screw-in reflector, 0.91</w:t>
            </w:r>
          </w:p>
          <w:p w14:paraId="0D6B9485" w14:textId="77777777" w:rsidR="009412A4" w:rsidRPr="00C32902" w:rsidRDefault="009412A4" w:rsidP="00C32902">
            <w:pPr>
              <w:pStyle w:val="ListParagraph"/>
              <w:numPr>
                <w:ilvl w:val="0"/>
                <w:numId w:val="19"/>
              </w:numPr>
              <w:tabs>
                <w:tab w:val="right" w:pos="6732"/>
              </w:tabs>
              <w:rPr>
                <w:rFonts w:cs="Arial"/>
                <w:sz w:val="20"/>
                <w:szCs w:val="20"/>
              </w:rPr>
            </w:pPr>
            <w:r w:rsidRPr="00C32902">
              <w:rPr>
                <w:rFonts w:cs="Arial"/>
                <w:sz w:val="20"/>
                <w:szCs w:val="20"/>
              </w:rPr>
              <w:t>Res-</w:t>
            </w:r>
            <w:proofErr w:type="spellStart"/>
            <w:r w:rsidRPr="00C32902">
              <w:rPr>
                <w:rFonts w:cs="Arial"/>
                <w:sz w:val="20"/>
                <w:szCs w:val="20"/>
              </w:rPr>
              <w:t>sAll</w:t>
            </w:r>
            <w:proofErr w:type="spellEnd"/>
            <w:r w:rsidRPr="00C32902">
              <w:rPr>
                <w:rFonts w:cs="Arial"/>
                <w:sz w:val="20"/>
                <w:szCs w:val="20"/>
              </w:rPr>
              <w:t>-</w:t>
            </w:r>
            <w:proofErr w:type="spellStart"/>
            <w:r w:rsidRPr="00C32902">
              <w:rPr>
                <w:rFonts w:cs="Arial"/>
                <w:sz w:val="20"/>
                <w:szCs w:val="20"/>
              </w:rPr>
              <w:t>mLEDARefl</w:t>
            </w:r>
            <w:proofErr w:type="spellEnd"/>
            <w:r w:rsidRPr="00C32902">
              <w:rPr>
                <w:rFonts w:cs="Arial"/>
                <w:sz w:val="20"/>
                <w:szCs w:val="20"/>
              </w:rPr>
              <w:t xml:space="preserve"> for residential LED A-lamp and screw-in reflector, 0.91</w:t>
            </w:r>
          </w:p>
          <w:p w14:paraId="732D6318" w14:textId="77777777" w:rsidR="009412A4" w:rsidRDefault="009412A4" w:rsidP="009412A4">
            <w:pPr>
              <w:tabs>
                <w:tab w:val="right" w:pos="6732"/>
              </w:tabs>
              <w:rPr>
                <w:rFonts w:cs="Arial"/>
                <w:sz w:val="20"/>
                <w:szCs w:val="20"/>
              </w:rPr>
            </w:pPr>
          </w:p>
          <w:p w14:paraId="2F3F7313" w14:textId="77777777" w:rsidR="00C32902" w:rsidRDefault="00C32902" w:rsidP="009412A4">
            <w:pPr>
              <w:tabs>
                <w:tab w:val="right" w:pos="6732"/>
              </w:tabs>
              <w:rPr>
                <w:rFonts w:cs="Arial"/>
                <w:sz w:val="20"/>
                <w:szCs w:val="20"/>
              </w:rPr>
            </w:pPr>
            <w:r>
              <w:rPr>
                <w:rFonts w:cs="Arial"/>
                <w:sz w:val="20"/>
                <w:szCs w:val="20"/>
              </w:rPr>
              <w:t>Start on 7/1/2018</w:t>
            </w:r>
          </w:p>
          <w:p w14:paraId="302E7459" w14:textId="77777777" w:rsidR="00C32902" w:rsidRPr="00FA2278" w:rsidRDefault="00C32902" w:rsidP="00FA2278">
            <w:pPr>
              <w:pStyle w:val="ListParagraph"/>
              <w:numPr>
                <w:ilvl w:val="0"/>
                <w:numId w:val="20"/>
              </w:numPr>
              <w:tabs>
                <w:tab w:val="right" w:pos="6732"/>
              </w:tabs>
              <w:rPr>
                <w:rFonts w:cs="Arial"/>
                <w:sz w:val="20"/>
                <w:szCs w:val="20"/>
              </w:rPr>
            </w:pPr>
            <w:r>
              <w:rPr>
                <w:rFonts w:cs="Arial"/>
                <w:sz w:val="20"/>
                <w:szCs w:val="20"/>
              </w:rPr>
              <w:t>“</w:t>
            </w:r>
            <w:r w:rsidRPr="00C32902">
              <w:rPr>
                <w:rFonts w:cs="Arial"/>
                <w:sz w:val="20"/>
                <w:szCs w:val="20"/>
              </w:rPr>
              <w:t>All-Ltg-ScrwInLED</w:t>
            </w:r>
            <w:r>
              <w:rPr>
                <w:rFonts w:cs="Arial"/>
                <w:sz w:val="20"/>
                <w:szCs w:val="20"/>
              </w:rPr>
              <w:t>” for a</w:t>
            </w:r>
            <w:r w:rsidRPr="00C32902">
              <w:rPr>
                <w:rFonts w:cs="Arial"/>
                <w:sz w:val="20"/>
                <w:szCs w:val="20"/>
              </w:rPr>
              <w:t>ll LED lamps and Can Retrofits</w:t>
            </w:r>
            <w:r>
              <w:rPr>
                <w:rFonts w:cs="Arial"/>
                <w:sz w:val="20"/>
                <w:szCs w:val="20"/>
              </w:rPr>
              <w:t>, 0.91</w:t>
            </w:r>
          </w:p>
        </w:tc>
      </w:tr>
      <w:tr w:rsidR="009412A4" w14:paraId="3BE485D3" w14:textId="77777777" w:rsidTr="009412A4">
        <w:trPr>
          <w:cantSplit/>
        </w:trPr>
        <w:tc>
          <w:tcPr>
            <w:tcW w:w="1440" w:type="dxa"/>
            <w:vAlign w:val="center"/>
          </w:tcPr>
          <w:p w14:paraId="0127A0EE" w14:textId="77777777" w:rsidR="009412A4" w:rsidRPr="00822B6F" w:rsidRDefault="009412A4" w:rsidP="009412A4">
            <w:pPr>
              <w:jc w:val="right"/>
              <w:rPr>
                <w:sz w:val="20"/>
                <w:szCs w:val="20"/>
              </w:rPr>
            </w:pPr>
            <w:r w:rsidRPr="00822B6F">
              <w:rPr>
                <w:sz w:val="20"/>
                <w:szCs w:val="20"/>
              </w:rPr>
              <w:t>Effective and Remaining Useful Life</w:t>
            </w:r>
          </w:p>
        </w:tc>
        <w:tc>
          <w:tcPr>
            <w:tcW w:w="7910" w:type="dxa"/>
          </w:tcPr>
          <w:p w14:paraId="68557DB6" w14:textId="77777777" w:rsidR="009412A4" w:rsidRDefault="009412A4" w:rsidP="009412A4">
            <w:pPr>
              <w:tabs>
                <w:tab w:val="right" w:pos="6732"/>
              </w:tabs>
              <w:rPr>
                <w:rFonts w:cs="Arial"/>
                <w:sz w:val="20"/>
                <w:szCs w:val="20"/>
              </w:rPr>
            </w:pPr>
            <w:r>
              <w:rPr>
                <w:rFonts w:ascii="Times New Roman" w:hAnsi="Times New Roman"/>
                <w:sz w:val="20"/>
                <w:szCs w:val="20"/>
              </w:rPr>
              <w:t>ILtg-Com</w:t>
            </w:r>
            <w:r w:rsidRPr="00EE7718">
              <w:rPr>
                <w:rFonts w:ascii="Times New Roman" w:hAnsi="Times New Roman"/>
                <w:sz w:val="20"/>
                <w:szCs w:val="20"/>
              </w:rPr>
              <w:t>-LED-20000hr</w:t>
            </w:r>
            <w:r>
              <w:rPr>
                <w:rFonts w:ascii="Times New Roman" w:hAnsi="Times New Roman"/>
                <w:sz w:val="20"/>
                <w:szCs w:val="20"/>
              </w:rPr>
              <w:t>;</w:t>
            </w:r>
            <w:r>
              <w:rPr>
                <w:rFonts w:cs="Arial"/>
                <w:sz w:val="20"/>
                <w:szCs w:val="20"/>
              </w:rPr>
              <w:t xml:space="preserve"> Varies based on READI linking</w:t>
            </w:r>
          </w:p>
          <w:p w14:paraId="32C49DBF" w14:textId="77777777" w:rsidR="009412A4" w:rsidRPr="00D86243" w:rsidRDefault="009412A4" w:rsidP="009412A4">
            <w:pPr>
              <w:tabs>
                <w:tab w:val="right" w:pos="6732"/>
              </w:tabs>
              <w:rPr>
                <w:rFonts w:cs="Arial"/>
                <w:sz w:val="20"/>
                <w:szCs w:val="20"/>
              </w:rPr>
            </w:pPr>
            <w:r w:rsidRPr="00EE7718">
              <w:rPr>
                <w:rFonts w:ascii="Times New Roman" w:hAnsi="Times New Roman"/>
                <w:sz w:val="20"/>
                <w:szCs w:val="20"/>
              </w:rPr>
              <w:t>ILtg-Res-LED-20000hr</w:t>
            </w:r>
            <w:r>
              <w:rPr>
                <w:rFonts w:ascii="Times New Roman" w:hAnsi="Times New Roman"/>
                <w:sz w:val="20"/>
                <w:szCs w:val="20"/>
              </w:rPr>
              <w:t>; 16 years</w:t>
            </w:r>
          </w:p>
        </w:tc>
      </w:tr>
      <w:tr w:rsidR="009412A4" w14:paraId="07C66B7D" w14:textId="77777777" w:rsidTr="009412A4">
        <w:trPr>
          <w:cantSplit/>
        </w:trPr>
        <w:tc>
          <w:tcPr>
            <w:tcW w:w="1440" w:type="dxa"/>
            <w:vAlign w:val="center"/>
          </w:tcPr>
          <w:p w14:paraId="48EEB689" w14:textId="77777777" w:rsidR="009412A4" w:rsidRPr="001D77F7" w:rsidRDefault="009412A4" w:rsidP="009412A4">
            <w:pPr>
              <w:rPr>
                <w:b/>
              </w:rPr>
            </w:pPr>
            <w:r w:rsidRPr="001D77F7">
              <w:rPr>
                <w:b/>
              </w:rPr>
              <w:t>Section 2. Calculation Methodology</w:t>
            </w:r>
          </w:p>
        </w:tc>
        <w:tc>
          <w:tcPr>
            <w:tcW w:w="7910" w:type="dxa"/>
            <w:vAlign w:val="center"/>
          </w:tcPr>
          <w:p w14:paraId="08DD792B" w14:textId="77777777" w:rsidR="009412A4" w:rsidRDefault="009412A4" w:rsidP="009412A4">
            <w:pPr>
              <w:rPr>
                <w:sz w:val="20"/>
                <w:szCs w:val="20"/>
              </w:rPr>
            </w:pPr>
            <w:r w:rsidRPr="00F96BF5">
              <w:rPr>
                <w:sz w:val="20"/>
                <w:szCs w:val="20"/>
              </w:rPr>
              <w:t>Based on the M</w:t>
            </w:r>
            <w:r w:rsidR="00F3064C">
              <w:rPr>
                <w:sz w:val="20"/>
                <w:szCs w:val="20"/>
              </w:rPr>
              <w:t>arch 1</w:t>
            </w:r>
            <w:r w:rsidRPr="00F96BF5">
              <w:rPr>
                <w:sz w:val="20"/>
                <w:szCs w:val="20"/>
              </w:rPr>
              <w:t>, 201</w:t>
            </w:r>
            <w:r w:rsidR="00F3064C">
              <w:rPr>
                <w:sz w:val="20"/>
                <w:szCs w:val="20"/>
              </w:rPr>
              <w:t>8</w:t>
            </w:r>
            <w:r w:rsidRPr="00F96BF5">
              <w:rPr>
                <w:sz w:val="20"/>
                <w:szCs w:val="20"/>
              </w:rPr>
              <w:t xml:space="preserve"> screw-in lighting disposition, this table represents the minimum LPW requirement per EISA bin</w:t>
            </w:r>
          </w:p>
          <w:p w14:paraId="337E2078" w14:textId="77777777" w:rsidR="009412A4" w:rsidRPr="00F96BF5" w:rsidRDefault="009412A4" w:rsidP="009412A4">
            <w:pPr>
              <w:rPr>
                <w:sz w:val="20"/>
                <w:szCs w:val="20"/>
              </w:rPr>
            </w:pPr>
          </w:p>
          <w:p w14:paraId="08B057C4" w14:textId="77777777" w:rsidR="009412A4" w:rsidRDefault="009412A4" w:rsidP="009412A4">
            <w:pPr>
              <w:jc w:val="center"/>
              <w:rPr>
                <w:b/>
                <w:sz w:val="20"/>
                <w:szCs w:val="20"/>
              </w:rPr>
            </w:pPr>
            <w:r w:rsidRPr="00F96BF5">
              <w:rPr>
                <w:b/>
                <w:sz w:val="20"/>
                <w:szCs w:val="20"/>
              </w:rPr>
              <w:t xml:space="preserve">Table 1 – Minimum Efficacy Requirements </w:t>
            </w:r>
          </w:p>
          <w:p w14:paraId="7023A835" w14:textId="77777777" w:rsidR="009412A4" w:rsidRPr="00F96BF5" w:rsidRDefault="009412A4" w:rsidP="009412A4">
            <w:pPr>
              <w:jc w:val="center"/>
              <w:rPr>
                <w:b/>
                <w:sz w:val="20"/>
                <w:szCs w:val="20"/>
              </w:rPr>
            </w:pPr>
          </w:p>
          <w:tbl>
            <w:tblPr>
              <w:tblStyle w:val="TableGrid"/>
              <w:tblW w:w="5479" w:type="dxa"/>
              <w:jc w:val="center"/>
              <w:tblLook w:val="04A0" w:firstRow="1" w:lastRow="0" w:firstColumn="1" w:lastColumn="0" w:noHBand="0" w:noVBand="1"/>
            </w:tblPr>
            <w:tblGrid>
              <w:gridCol w:w="1801"/>
              <w:gridCol w:w="1839"/>
              <w:gridCol w:w="1839"/>
            </w:tblGrid>
            <w:tr w:rsidR="00F3064C" w:rsidRPr="0034275C" w14:paraId="6F7F1BB4" w14:textId="77777777" w:rsidTr="00F3064C">
              <w:trPr>
                <w:jc w:val="center"/>
              </w:trPr>
              <w:tc>
                <w:tcPr>
                  <w:tcW w:w="1801" w:type="dxa"/>
                  <w:shd w:val="clear" w:color="auto" w:fill="D9D9D9" w:themeFill="background1" w:themeFillShade="D9"/>
                </w:tcPr>
                <w:p w14:paraId="22F8E753" w14:textId="77777777" w:rsidR="00F3064C" w:rsidRPr="0034275C" w:rsidRDefault="00F3064C" w:rsidP="009412A4">
                  <w:pPr>
                    <w:jc w:val="center"/>
                    <w:rPr>
                      <w:rFonts w:ascii="Arial" w:hAnsi="Arial" w:cs="Arial"/>
                      <w:b/>
                      <w:sz w:val="20"/>
                      <w:szCs w:val="20"/>
                    </w:rPr>
                  </w:pPr>
                  <w:r>
                    <w:rPr>
                      <w:rFonts w:ascii="Arial" w:hAnsi="Arial" w:cs="Arial"/>
                      <w:b/>
                      <w:sz w:val="20"/>
                      <w:szCs w:val="20"/>
                    </w:rPr>
                    <w:t>EISA Wattages (W)</w:t>
                  </w:r>
                </w:p>
              </w:tc>
              <w:tc>
                <w:tcPr>
                  <w:tcW w:w="1839" w:type="dxa"/>
                  <w:shd w:val="clear" w:color="auto" w:fill="D9D9D9" w:themeFill="background1" w:themeFillShade="D9"/>
                </w:tcPr>
                <w:p w14:paraId="41CF2E8C" w14:textId="77777777" w:rsidR="00F3064C" w:rsidRPr="0034275C" w:rsidRDefault="00F3064C" w:rsidP="009412A4">
                  <w:pPr>
                    <w:jc w:val="center"/>
                    <w:rPr>
                      <w:rFonts w:ascii="Arial" w:hAnsi="Arial" w:cs="Arial"/>
                      <w:b/>
                      <w:sz w:val="20"/>
                      <w:szCs w:val="20"/>
                    </w:rPr>
                  </w:pPr>
                  <w:r>
                    <w:rPr>
                      <w:rFonts w:ascii="Arial" w:hAnsi="Arial" w:cs="Arial"/>
                      <w:b/>
                      <w:sz w:val="20"/>
                      <w:szCs w:val="20"/>
                    </w:rPr>
                    <w:t>2018 efficacy (LPW)</w:t>
                  </w:r>
                </w:p>
              </w:tc>
              <w:tc>
                <w:tcPr>
                  <w:tcW w:w="1839" w:type="dxa"/>
                  <w:shd w:val="clear" w:color="auto" w:fill="D9D9D9" w:themeFill="background1" w:themeFillShade="D9"/>
                </w:tcPr>
                <w:p w14:paraId="44399111" w14:textId="77777777" w:rsidR="00F3064C" w:rsidRPr="0034275C" w:rsidRDefault="00F3064C" w:rsidP="009412A4">
                  <w:pPr>
                    <w:jc w:val="center"/>
                    <w:rPr>
                      <w:rFonts w:ascii="Arial" w:hAnsi="Arial" w:cs="Arial"/>
                      <w:b/>
                      <w:sz w:val="20"/>
                      <w:szCs w:val="20"/>
                    </w:rPr>
                  </w:pPr>
                  <w:r>
                    <w:rPr>
                      <w:rFonts w:ascii="Arial" w:hAnsi="Arial" w:cs="Arial"/>
                      <w:b/>
                      <w:sz w:val="20"/>
                      <w:szCs w:val="20"/>
                    </w:rPr>
                    <w:t>2019 efficacy (LPW)</w:t>
                  </w:r>
                </w:p>
              </w:tc>
            </w:tr>
            <w:tr w:rsidR="00F3064C" w:rsidRPr="00C54DA9" w14:paraId="67AABB7E" w14:textId="77777777" w:rsidTr="00F3064C">
              <w:trPr>
                <w:jc w:val="center"/>
              </w:trPr>
              <w:tc>
                <w:tcPr>
                  <w:tcW w:w="1801" w:type="dxa"/>
                </w:tcPr>
                <w:p w14:paraId="7A56C31F"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40</w:t>
                  </w:r>
                </w:p>
              </w:tc>
              <w:tc>
                <w:tcPr>
                  <w:tcW w:w="1839" w:type="dxa"/>
                </w:tcPr>
                <w:p w14:paraId="6D886A7B"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14:paraId="2569D204"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95</w:t>
                  </w:r>
                </w:p>
              </w:tc>
            </w:tr>
            <w:tr w:rsidR="00F3064C" w:rsidRPr="00C54DA9" w14:paraId="2CADD513" w14:textId="77777777" w:rsidTr="00F3064C">
              <w:trPr>
                <w:jc w:val="center"/>
              </w:trPr>
              <w:tc>
                <w:tcPr>
                  <w:tcW w:w="1801" w:type="dxa"/>
                </w:tcPr>
                <w:p w14:paraId="1BE7BB06"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60</w:t>
                  </w:r>
                </w:p>
              </w:tc>
              <w:tc>
                <w:tcPr>
                  <w:tcW w:w="1839" w:type="dxa"/>
                </w:tcPr>
                <w:p w14:paraId="23FE9E63"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7A0F0132"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r>
            <w:tr w:rsidR="00F3064C" w:rsidRPr="00C54DA9" w14:paraId="4ECCDDA6" w14:textId="77777777" w:rsidTr="00F3064C">
              <w:trPr>
                <w:jc w:val="center"/>
              </w:trPr>
              <w:tc>
                <w:tcPr>
                  <w:tcW w:w="1801" w:type="dxa"/>
                </w:tcPr>
                <w:p w14:paraId="23D401C3"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75</w:t>
                  </w:r>
                </w:p>
              </w:tc>
              <w:tc>
                <w:tcPr>
                  <w:tcW w:w="1839" w:type="dxa"/>
                </w:tcPr>
                <w:p w14:paraId="175450BC"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18AA0D4C"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r w:rsidR="00F3064C" w:rsidRPr="00C54DA9" w14:paraId="2ABB5073" w14:textId="77777777" w:rsidTr="00F3064C">
              <w:trPr>
                <w:jc w:val="center"/>
              </w:trPr>
              <w:tc>
                <w:tcPr>
                  <w:tcW w:w="1801" w:type="dxa"/>
                </w:tcPr>
                <w:p w14:paraId="245FF642" w14:textId="77777777" w:rsidR="00F3064C"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c>
                <w:tcPr>
                  <w:tcW w:w="1839" w:type="dxa"/>
                </w:tcPr>
                <w:p w14:paraId="10770A5C"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41D530BB"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bl>
          <w:p w14:paraId="6F0A0F6F" w14:textId="77777777" w:rsidR="009412A4" w:rsidRDefault="009412A4" w:rsidP="009412A4">
            <w:pPr>
              <w:rPr>
                <w:rFonts w:cs="Arial"/>
                <w:sz w:val="20"/>
                <w:szCs w:val="20"/>
              </w:rPr>
            </w:pPr>
          </w:p>
          <w:p w14:paraId="6FFF1659" w14:textId="77777777" w:rsidR="009412A4" w:rsidRDefault="009412A4" w:rsidP="009412A4">
            <w:pPr>
              <w:rPr>
                <w:rFonts w:cs="Arial"/>
                <w:sz w:val="20"/>
                <w:szCs w:val="20"/>
              </w:rPr>
            </w:pPr>
            <w:r w:rsidRPr="00F96BF5">
              <w:rPr>
                <w:rFonts w:cs="Arial"/>
                <w:sz w:val="20"/>
                <w:szCs w:val="20"/>
              </w:rPr>
              <w:t>Based on these requirements, the disposition generated revised savings at each new measure definition.</w:t>
            </w:r>
          </w:p>
          <w:p w14:paraId="28094C72" w14:textId="77777777" w:rsidR="009412A4" w:rsidRPr="00241A1F" w:rsidRDefault="009412A4" w:rsidP="009412A4">
            <w:pPr>
              <w:rPr>
                <w:rFonts w:cs="Arial"/>
                <w:sz w:val="20"/>
                <w:szCs w:val="20"/>
              </w:rPr>
            </w:pPr>
          </w:p>
        </w:tc>
      </w:tr>
      <w:tr w:rsidR="009412A4" w14:paraId="7606E5E5" w14:textId="77777777" w:rsidTr="009412A4">
        <w:trPr>
          <w:cantSplit/>
        </w:trPr>
        <w:tc>
          <w:tcPr>
            <w:tcW w:w="1440" w:type="dxa"/>
            <w:vAlign w:val="center"/>
          </w:tcPr>
          <w:p w14:paraId="6216451E" w14:textId="77777777" w:rsidR="009412A4" w:rsidRDefault="009412A4" w:rsidP="009412A4">
            <w:pPr>
              <w:jc w:val="right"/>
            </w:pPr>
            <w:r>
              <w:rPr>
                <w:rFonts w:cs="Arial"/>
                <w:sz w:val="20"/>
                <w:szCs w:val="20"/>
              </w:rPr>
              <w:t>Energy Savings/Peak Demand Reduction – All Measures</w:t>
            </w:r>
          </w:p>
        </w:tc>
        <w:tc>
          <w:tcPr>
            <w:tcW w:w="7910" w:type="dxa"/>
          </w:tcPr>
          <w:p w14:paraId="0B667E45" w14:textId="2E41B9D4" w:rsidR="009412A4" w:rsidRPr="00555671" w:rsidRDefault="00B755EA" w:rsidP="00B755EA">
            <w:pPr>
              <w:tabs>
                <w:tab w:val="right" w:pos="6732"/>
              </w:tabs>
              <w:jc w:val="both"/>
              <w:rPr>
                <w:rFonts w:cs="Arial"/>
                <w:sz w:val="20"/>
                <w:szCs w:val="20"/>
              </w:rPr>
            </w:pPr>
            <w:r>
              <w:rPr>
                <w:rFonts w:ascii="Calibri" w:hAnsi="Calibri"/>
                <w:color w:val="000000"/>
                <w:sz w:val="20"/>
                <w:szCs w:val="20"/>
              </w:rPr>
              <w:t>SDG&amp;E adopts energy efficiency savings impacts (</w:t>
            </w:r>
            <w:proofErr w:type="spellStart"/>
            <w:r>
              <w:rPr>
                <w:rFonts w:ascii="Calibri" w:hAnsi="Calibri"/>
                <w:color w:val="000000"/>
                <w:sz w:val="20"/>
                <w:szCs w:val="20"/>
              </w:rPr>
              <w:t>Kwh</w:t>
            </w:r>
            <w:proofErr w:type="spellEnd"/>
            <w:r>
              <w:rPr>
                <w:rFonts w:ascii="Calibri" w:hAnsi="Calibri"/>
                <w:color w:val="000000"/>
                <w:sz w:val="20"/>
                <w:szCs w:val="20"/>
              </w:rPr>
              <w:t xml:space="preserve">, Kw and </w:t>
            </w:r>
            <w:proofErr w:type="spellStart"/>
            <w:r>
              <w:rPr>
                <w:rFonts w:ascii="Calibri" w:hAnsi="Calibri"/>
                <w:color w:val="000000"/>
                <w:sz w:val="20"/>
                <w:szCs w:val="20"/>
              </w:rPr>
              <w:t>therm</w:t>
            </w:r>
            <w:proofErr w:type="spellEnd"/>
            <w:r>
              <w:rPr>
                <w:rFonts w:ascii="Calibri" w:hAnsi="Calibri"/>
                <w:color w:val="000000"/>
                <w:sz w:val="20"/>
                <w:szCs w:val="20"/>
              </w:rPr>
              <w:t>) as specified in PEAR data base DEER Measures with Source Description = “</w:t>
            </w:r>
            <w:r w:rsidRPr="00B755EA">
              <w:rPr>
                <w:rFonts w:ascii="Calibri" w:hAnsi="Calibri"/>
                <w:color w:val="000000"/>
                <w:sz w:val="20"/>
                <w:szCs w:val="20"/>
              </w:rPr>
              <w:t>2018Phase1ScrewInLampDisposition</w:t>
            </w:r>
            <w:r>
              <w:rPr>
                <w:rFonts w:ascii="Calibri" w:hAnsi="Calibri"/>
                <w:color w:val="000000"/>
                <w:sz w:val="20"/>
                <w:szCs w:val="20"/>
              </w:rPr>
              <w:t xml:space="preserve">”.  Refer to Ex-ante data tables </w:t>
            </w:r>
            <w:r w:rsidRPr="008E71C1">
              <w:rPr>
                <w:rFonts w:ascii="Calibri" w:hAnsi="Calibri"/>
                <w:color w:val="000000"/>
                <w:sz w:val="20"/>
                <w:szCs w:val="20"/>
              </w:rPr>
              <w:t xml:space="preserve">entitled </w:t>
            </w:r>
            <w:r w:rsidR="007C6F79">
              <w:rPr>
                <w:rFonts w:ascii="Calibri" w:hAnsi="Calibri"/>
                <w:color w:val="000000"/>
                <w:sz w:val="20"/>
                <w:szCs w:val="20"/>
              </w:rPr>
              <w:t>“</w:t>
            </w:r>
            <w:r w:rsidR="00AA5D16" w:rsidRPr="00AA5D16">
              <w:rPr>
                <w:rFonts w:ascii="Calibri" w:hAnsi="Calibri"/>
                <w:color w:val="000000"/>
                <w:sz w:val="20"/>
                <w:szCs w:val="20"/>
              </w:rPr>
              <w:t>20180514_LED_r1.MDB</w:t>
            </w:r>
            <w:r w:rsidR="007C6F79" w:rsidRPr="005677A6">
              <w:rPr>
                <w:rFonts w:ascii="Calibri" w:hAnsi="Calibri"/>
                <w:color w:val="000000"/>
                <w:sz w:val="20"/>
                <w:szCs w:val="20"/>
              </w:rPr>
              <w:t>”</w:t>
            </w:r>
            <w:r w:rsidR="007C6F79">
              <w:rPr>
                <w:rFonts w:ascii="Calibri" w:hAnsi="Calibri"/>
                <w:color w:val="000000"/>
                <w:sz w:val="20"/>
                <w:szCs w:val="20"/>
              </w:rPr>
              <w:t xml:space="preserve"> </w:t>
            </w:r>
            <w:r w:rsidRPr="008E71C1">
              <w:rPr>
                <w:rFonts w:ascii="Calibri" w:hAnsi="Calibri"/>
                <w:color w:val="000000"/>
                <w:sz w:val="20"/>
                <w:szCs w:val="20"/>
              </w:rPr>
              <w:t xml:space="preserve">for SDG&amp;E </w:t>
            </w:r>
            <w:r>
              <w:rPr>
                <w:rFonts w:ascii="Calibri" w:hAnsi="Calibri"/>
                <w:color w:val="000000"/>
                <w:sz w:val="20"/>
                <w:szCs w:val="20"/>
              </w:rPr>
              <w:t>Implementation adoption of DEER Measure IDs</w:t>
            </w:r>
            <w:r w:rsidR="009412A4" w:rsidRPr="00CD265D">
              <w:rPr>
                <w:rFonts w:cs="Arial"/>
                <w:sz w:val="20"/>
                <w:szCs w:val="20"/>
              </w:rPr>
              <w:t>.</w:t>
            </w:r>
            <w:r>
              <w:rPr>
                <w:rFonts w:cs="Arial"/>
                <w:sz w:val="20"/>
                <w:szCs w:val="20"/>
              </w:rPr>
              <w:t xml:space="preserve"> </w:t>
            </w:r>
          </w:p>
        </w:tc>
      </w:tr>
      <w:tr w:rsidR="009412A4" w14:paraId="09C50FFB" w14:textId="77777777" w:rsidTr="009412A4">
        <w:trPr>
          <w:cantSplit/>
        </w:trPr>
        <w:tc>
          <w:tcPr>
            <w:tcW w:w="1440" w:type="dxa"/>
            <w:vAlign w:val="center"/>
          </w:tcPr>
          <w:p w14:paraId="01AE7150" w14:textId="77777777" w:rsidR="009412A4" w:rsidRPr="001D77F7" w:rsidRDefault="009412A4" w:rsidP="009412A4">
            <w:pPr>
              <w:rPr>
                <w:b/>
              </w:rPr>
            </w:pPr>
            <w:r w:rsidRPr="001D77F7">
              <w:rPr>
                <w:b/>
              </w:rPr>
              <w:t>Section 3. Load Shapes</w:t>
            </w:r>
          </w:p>
        </w:tc>
        <w:tc>
          <w:tcPr>
            <w:tcW w:w="7910" w:type="dxa"/>
          </w:tcPr>
          <w:p w14:paraId="1C3DCBED" w14:textId="77777777" w:rsidR="009412A4" w:rsidRPr="00476F40" w:rsidRDefault="009412A4" w:rsidP="009412A4">
            <w:pPr>
              <w:tabs>
                <w:tab w:val="right" w:pos="6732"/>
              </w:tabs>
              <w:rPr>
                <w:rFonts w:cs="Arial"/>
                <w:sz w:val="20"/>
                <w:szCs w:val="20"/>
              </w:rPr>
            </w:pPr>
            <w:r>
              <w:rPr>
                <w:rFonts w:cs="Arial"/>
                <w:sz w:val="20"/>
                <w:szCs w:val="20"/>
              </w:rPr>
              <w:t>Varies – per READI linking</w:t>
            </w:r>
          </w:p>
        </w:tc>
      </w:tr>
      <w:tr w:rsidR="009412A4" w14:paraId="235115A5" w14:textId="77777777" w:rsidTr="009412A4">
        <w:trPr>
          <w:cantSplit/>
        </w:trPr>
        <w:tc>
          <w:tcPr>
            <w:tcW w:w="1440" w:type="dxa"/>
            <w:vAlign w:val="center"/>
          </w:tcPr>
          <w:p w14:paraId="6802C23C" w14:textId="77777777" w:rsidR="009412A4" w:rsidRPr="001D77F7" w:rsidRDefault="009412A4" w:rsidP="009412A4">
            <w:pPr>
              <w:rPr>
                <w:b/>
              </w:rPr>
            </w:pPr>
            <w:r w:rsidRPr="001D77F7">
              <w:rPr>
                <w:b/>
              </w:rPr>
              <w:t>Section 4. Costs</w:t>
            </w:r>
          </w:p>
        </w:tc>
        <w:tc>
          <w:tcPr>
            <w:tcW w:w="7910" w:type="dxa"/>
          </w:tcPr>
          <w:p w14:paraId="66614BEA" w14:textId="1EACE3B4" w:rsidR="00987CFB" w:rsidRDefault="00987CFB" w:rsidP="00AA5D16">
            <w:pPr>
              <w:rPr>
                <w:rFonts w:cs="Arial"/>
                <w:sz w:val="20"/>
                <w:szCs w:val="20"/>
              </w:rPr>
            </w:pPr>
            <w:r w:rsidRPr="00987CFB">
              <w:rPr>
                <w:rFonts w:cs="Arial"/>
                <w:sz w:val="20"/>
                <w:szCs w:val="20"/>
              </w:rPr>
              <w:t>SDG&amp;E adopts all PAR30 baseline line cost data from PG&amp;E workpaper PGECOLTG141 Rev9 LED PAR Lamp.</w:t>
            </w:r>
            <w:r>
              <w:rPr>
                <w:rFonts w:cs="Arial"/>
                <w:sz w:val="20"/>
                <w:szCs w:val="20"/>
              </w:rPr>
              <w:t xml:space="preserve">  These costs are embedded in </w:t>
            </w:r>
            <w:r w:rsidRPr="00987CFB">
              <w:rPr>
                <w:rFonts w:cs="Arial"/>
                <w:sz w:val="20"/>
                <w:szCs w:val="20"/>
              </w:rPr>
              <w:t>WPSDGENRLG0107-0_CostSummary.xlsx</w:t>
            </w:r>
            <w:r>
              <w:rPr>
                <w:rFonts w:cs="Arial"/>
                <w:sz w:val="20"/>
                <w:szCs w:val="20"/>
              </w:rPr>
              <w:t>.</w:t>
            </w:r>
          </w:p>
          <w:p w14:paraId="16B25FC2" w14:textId="77777777" w:rsidR="00987CFB" w:rsidRDefault="00987CFB" w:rsidP="00AA5D16">
            <w:pPr>
              <w:rPr>
                <w:rFonts w:cs="Arial"/>
                <w:sz w:val="20"/>
                <w:szCs w:val="20"/>
              </w:rPr>
            </w:pPr>
          </w:p>
          <w:p w14:paraId="6C12EC02" w14:textId="60F30706" w:rsidR="00AA5D16" w:rsidRPr="00AA5D16" w:rsidRDefault="00AA5D16" w:rsidP="00AA5D16">
            <w:pPr>
              <w:rPr>
                <w:rFonts w:cs="Arial"/>
                <w:sz w:val="20"/>
                <w:szCs w:val="20"/>
              </w:rPr>
            </w:pPr>
            <w:r w:rsidRPr="00AA5D16">
              <w:rPr>
                <w:rFonts w:cs="Arial"/>
                <w:sz w:val="20"/>
                <w:szCs w:val="20"/>
              </w:rPr>
              <w:t>Measure costs were referenced from PG&amp;E’s draft cost data workbook “</w:t>
            </w:r>
            <w:proofErr w:type="spellStart"/>
            <w:r w:rsidRPr="00AA5D16">
              <w:rPr>
                <w:rFonts w:cs="Arial"/>
                <w:sz w:val="20"/>
                <w:szCs w:val="20"/>
              </w:rPr>
              <w:t>Recesseddownlight</w:t>
            </w:r>
            <w:proofErr w:type="spellEnd"/>
            <w:r w:rsidRPr="00AA5D16">
              <w:rPr>
                <w:rFonts w:cs="Arial"/>
                <w:sz w:val="20"/>
                <w:szCs w:val="20"/>
              </w:rPr>
              <w:t>-led-</w:t>
            </w:r>
            <w:proofErr w:type="spellStart"/>
            <w:r w:rsidRPr="00AA5D16">
              <w:rPr>
                <w:rFonts w:cs="Arial"/>
                <w:sz w:val="20"/>
                <w:szCs w:val="20"/>
              </w:rPr>
              <w:t>lowes</w:t>
            </w:r>
            <w:proofErr w:type="spellEnd"/>
            <w:proofErr w:type="gramStart"/>
            <w:r w:rsidRPr="00AA5D16">
              <w:rPr>
                <w:rFonts w:cs="Arial"/>
                <w:sz w:val="20"/>
                <w:szCs w:val="20"/>
              </w:rPr>
              <w:t>_(</w:t>
            </w:r>
            <w:proofErr w:type="gramEnd"/>
            <w:r w:rsidRPr="00AA5D16">
              <w:rPr>
                <w:rFonts w:cs="Arial"/>
                <w:sz w:val="20"/>
                <w:szCs w:val="20"/>
              </w:rPr>
              <w:t>2).</w:t>
            </w:r>
            <w:proofErr w:type="spellStart"/>
            <w:r w:rsidRPr="00AA5D16">
              <w:rPr>
                <w:rFonts w:cs="Arial"/>
                <w:sz w:val="20"/>
                <w:szCs w:val="20"/>
              </w:rPr>
              <w:t>xls</w:t>
            </w:r>
            <w:proofErr w:type="spellEnd"/>
            <w:r w:rsidRPr="00AA5D16">
              <w:rPr>
                <w:rFonts w:cs="Arial"/>
                <w:sz w:val="20"/>
                <w:szCs w:val="20"/>
              </w:rPr>
              <w:t>”</w:t>
            </w:r>
            <w:r w:rsidR="00987CFB">
              <w:rPr>
                <w:rFonts w:cs="Arial"/>
                <w:sz w:val="20"/>
                <w:szCs w:val="20"/>
              </w:rPr>
              <w:t xml:space="preserve">, which is embedded in </w:t>
            </w:r>
            <w:r w:rsidR="00987CFB" w:rsidRPr="00987CFB">
              <w:rPr>
                <w:rFonts w:cs="Arial"/>
                <w:sz w:val="20"/>
                <w:szCs w:val="20"/>
              </w:rPr>
              <w:t>WPSDGENRLG0107-0_CostSummary.xlsx</w:t>
            </w:r>
            <w:r w:rsidRPr="00AA5D16">
              <w:rPr>
                <w:rFonts w:cs="Arial"/>
                <w:sz w:val="20"/>
                <w:szCs w:val="20"/>
              </w:rPr>
              <w:t>.  SDG&amp;E updated both the measure costs and the incremental measure costs to adhere to the 2018 Screw-In Lighting Disposition to follow the new baseline mix.</w:t>
            </w:r>
            <w:bookmarkStart w:id="1" w:name="_GoBack"/>
            <w:bookmarkEnd w:id="1"/>
          </w:p>
          <w:p w14:paraId="4CE25E86" w14:textId="4CF19CA3" w:rsidR="00333005" w:rsidRPr="006759BB" w:rsidRDefault="00333005" w:rsidP="006759BB">
            <w:pPr>
              <w:rPr>
                <w:rFonts w:cs="Arial"/>
                <w:sz w:val="20"/>
                <w:szCs w:val="20"/>
              </w:rPr>
            </w:pPr>
          </w:p>
        </w:tc>
      </w:tr>
      <w:tr w:rsidR="009412A4" w:rsidRPr="00393EC8" w14:paraId="40E5DD55" w14:textId="77777777" w:rsidTr="009412A4">
        <w:trPr>
          <w:cantSplit/>
        </w:trPr>
        <w:tc>
          <w:tcPr>
            <w:tcW w:w="1440" w:type="dxa"/>
          </w:tcPr>
          <w:p w14:paraId="78B8220C" w14:textId="77777777" w:rsidR="009412A4" w:rsidRPr="00393EC8" w:rsidRDefault="009412A4" w:rsidP="009412A4">
            <w:pPr>
              <w:rPr>
                <w:b/>
              </w:rPr>
            </w:pPr>
            <w:r w:rsidRPr="00393EC8">
              <w:rPr>
                <w:b/>
              </w:rPr>
              <w:t xml:space="preserve">Section 4.1 </w:t>
            </w:r>
            <w:r>
              <w:rPr>
                <w:b/>
              </w:rPr>
              <w:t>Base and Measure Costs</w:t>
            </w:r>
          </w:p>
        </w:tc>
        <w:tc>
          <w:tcPr>
            <w:tcW w:w="7910" w:type="dxa"/>
          </w:tcPr>
          <w:p w14:paraId="22B52FAF" w14:textId="52FB99A1" w:rsidR="00AA5D16" w:rsidRPr="00987CFB" w:rsidRDefault="00AA5D16" w:rsidP="00987CFB">
            <w:pPr>
              <w:jc w:val="both"/>
              <w:rPr>
                <w:sz w:val="20"/>
                <w:szCs w:val="20"/>
              </w:rPr>
            </w:pPr>
            <w:r w:rsidRPr="00AA5D16">
              <w:rPr>
                <w:sz w:val="20"/>
                <w:szCs w:val="20"/>
              </w:rPr>
              <w:t>Cost data workbook</w:t>
            </w:r>
            <w:r w:rsidR="00987CFB">
              <w:rPr>
                <w:sz w:val="20"/>
                <w:szCs w:val="20"/>
              </w:rPr>
              <w:t>(</w:t>
            </w:r>
            <w:r w:rsidRPr="00AA5D16">
              <w:rPr>
                <w:sz w:val="20"/>
                <w:szCs w:val="20"/>
              </w:rPr>
              <w:t>s</w:t>
            </w:r>
            <w:r w:rsidR="00987CFB">
              <w:rPr>
                <w:sz w:val="20"/>
                <w:szCs w:val="20"/>
              </w:rPr>
              <w:t>)</w:t>
            </w:r>
            <w:r w:rsidRPr="00AA5D16">
              <w:rPr>
                <w:sz w:val="20"/>
                <w:szCs w:val="20"/>
              </w:rPr>
              <w:t>:</w:t>
            </w:r>
            <w:r w:rsidR="006759BB" w:rsidRPr="00AA5D16">
              <w:rPr>
                <w:sz w:val="20"/>
                <w:szCs w:val="20"/>
              </w:rPr>
              <w:t xml:space="preserve"> </w:t>
            </w:r>
          </w:p>
          <w:p w14:paraId="435430D1" w14:textId="2BF411E7" w:rsidR="006759BB" w:rsidRPr="00AA5D16" w:rsidRDefault="00AA5D16" w:rsidP="00AA5D16">
            <w:pPr>
              <w:pStyle w:val="ListParagraph"/>
              <w:numPr>
                <w:ilvl w:val="0"/>
                <w:numId w:val="22"/>
              </w:numPr>
              <w:jc w:val="both"/>
              <w:rPr>
                <w:sz w:val="20"/>
                <w:szCs w:val="20"/>
              </w:rPr>
            </w:pPr>
            <w:r w:rsidRPr="00AA5D16">
              <w:rPr>
                <w:sz w:val="20"/>
                <w:szCs w:val="20"/>
              </w:rPr>
              <w:t>WPSDGENRLG0107-0_CostSummary.xlsx</w:t>
            </w:r>
          </w:p>
          <w:p w14:paraId="5ABA5B8D" w14:textId="77777777" w:rsidR="006759BB" w:rsidRDefault="006759BB" w:rsidP="00D43C53">
            <w:pPr>
              <w:rPr>
                <w:sz w:val="20"/>
                <w:szCs w:val="20"/>
              </w:rPr>
            </w:pPr>
          </w:p>
          <w:p w14:paraId="3A57092A" w14:textId="77777777" w:rsidR="00D43C53" w:rsidRPr="00772C18" w:rsidRDefault="006759BB" w:rsidP="00D43C53">
            <w:pPr>
              <w:rPr>
                <w:b/>
                <w:sz w:val="20"/>
                <w:szCs w:val="20"/>
              </w:rPr>
            </w:pPr>
            <w:r>
              <w:rPr>
                <w:b/>
                <w:sz w:val="20"/>
                <w:szCs w:val="20"/>
              </w:rPr>
              <w:t xml:space="preserve">PAR </w:t>
            </w:r>
            <w:r w:rsidR="00D43C53" w:rsidRPr="00772C18">
              <w:rPr>
                <w:b/>
                <w:sz w:val="20"/>
                <w:szCs w:val="20"/>
              </w:rPr>
              <w:t>Lamps (PARs, BR/R)</w:t>
            </w:r>
          </w:p>
          <w:p w14:paraId="38075B09" w14:textId="77777777" w:rsidR="00D43C53" w:rsidRDefault="00D43C53" w:rsidP="00D43C53">
            <w:pPr>
              <w:numPr>
                <w:ilvl w:val="0"/>
                <w:numId w:val="15"/>
              </w:numPr>
              <w:rPr>
                <w:sz w:val="20"/>
                <w:szCs w:val="20"/>
              </w:rPr>
            </w:pPr>
            <w:r>
              <w:rPr>
                <w:sz w:val="20"/>
                <w:szCs w:val="20"/>
              </w:rPr>
              <w:t xml:space="preserve">10% </w:t>
            </w:r>
            <w:r w:rsidR="00A77DE3">
              <w:rPr>
                <w:sz w:val="20"/>
                <w:szCs w:val="20"/>
              </w:rPr>
              <w:t>CFL, 40% LED and 50% incandescent.</w:t>
            </w:r>
          </w:p>
          <w:p w14:paraId="0D3C4CC0" w14:textId="18F4D187" w:rsidR="00A77DE3" w:rsidRPr="00A77DE3" w:rsidRDefault="00A77DE3" w:rsidP="00A77DE3">
            <w:pPr>
              <w:numPr>
                <w:ilvl w:val="0"/>
                <w:numId w:val="15"/>
              </w:numPr>
              <w:rPr>
                <w:sz w:val="20"/>
                <w:szCs w:val="20"/>
              </w:rPr>
            </w:pPr>
            <w:r>
              <w:rPr>
                <w:sz w:val="20"/>
                <w:szCs w:val="20"/>
              </w:rPr>
              <w:t xml:space="preserve">SDG&amp;E adopts PG&amp;E’s workpaper cost data from </w:t>
            </w:r>
            <w:r w:rsidRPr="00AA5D16">
              <w:rPr>
                <w:sz w:val="20"/>
                <w:szCs w:val="20"/>
              </w:rPr>
              <w:t>PGECOLTG</w:t>
            </w:r>
            <w:r w:rsidR="00AA5D16" w:rsidRPr="00AA5D16">
              <w:rPr>
                <w:sz w:val="20"/>
                <w:szCs w:val="20"/>
              </w:rPr>
              <w:t>141 R9 LED PARs</w:t>
            </w:r>
            <w:r w:rsidR="00AA5D16">
              <w:rPr>
                <w:szCs w:val="22"/>
              </w:rPr>
              <w:t xml:space="preserve"> </w:t>
            </w:r>
          </w:p>
          <w:p w14:paraId="5D592B7A" w14:textId="77777777" w:rsidR="009412A4" w:rsidRPr="00D43C53" w:rsidRDefault="009412A4" w:rsidP="000342B8">
            <w:pPr>
              <w:rPr>
                <w:sz w:val="20"/>
                <w:szCs w:val="20"/>
              </w:rPr>
            </w:pPr>
          </w:p>
        </w:tc>
      </w:tr>
      <w:tr w:rsidR="009412A4" w14:paraId="5A7AD2E9" w14:textId="77777777" w:rsidTr="009412A4">
        <w:trPr>
          <w:cantSplit/>
        </w:trPr>
        <w:tc>
          <w:tcPr>
            <w:tcW w:w="1440" w:type="dxa"/>
          </w:tcPr>
          <w:p w14:paraId="4D68E2F0" w14:textId="77777777" w:rsidR="009412A4" w:rsidRPr="00822B6F" w:rsidRDefault="009412A4" w:rsidP="009412A4">
            <w:pPr>
              <w:jc w:val="right"/>
              <w:rPr>
                <w:sz w:val="20"/>
                <w:szCs w:val="20"/>
              </w:rPr>
            </w:pPr>
          </w:p>
        </w:tc>
        <w:tc>
          <w:tcPr>
            <w:tcW w:w="7910" w:type="dxa"/>
          </w:tcPr>
          <w:p w14:paraId="4BD701F4" w14:textId="23213F54" w:rsidR="009412A4" w:rsidRPr="008E71C1" w:rsidRDefault="009412A4" w:rsidP="009412A4">
            <w:pPr>
              <w:rPr>
                <w:rFonts w:ascii="Calibri" w:hAnsi="Calibri"/>
                <w:color w:val="000000"/>
                <w:sz w:val="20"/>
                <w:szCs w:val="20"/>
              </w:rPr>
            </w:pPr>
            <w:r>
              <w:rPr>
                <w:rFonts w:ascii="Calibri" w:hAnsi="Calibri"/>
                <w:color w:val="000000"/>
                <w:sz w:val="20"/>
                <w:szCs w:val="20"/>
              </w:rPr>
              <w:t xml:space="preserve">Cost IDs are included in the </w:t>
            </w:r>
            <w:r w:rsidR="005845FB">
              <w:rPr>
                <w:rFonts w:ascii="Calibri" w:hAnsi="Calibri"/>
                <w:color w:val="000000"/>
                <w:sz w:val="20"/>
                <w:szCs w:val="20"/>
              </w:rPr>
              <w:t xml:space="preserve">Ex-ante data </w:t>
            </w:r>
            <w:r>
              <w:rPr>
                <w:rFonts w:ascii="Calibri" w:hAnsi="Calibri"/>
                <w:color w:val="000000"/>
                <w:sz w:val="20"/>
                <w:szCs w:val="20"/>
              </w:rPr>
              <w:t xml:space="preserve">cost table found in </w:t>
            </w:r>
            <w:r w:rsidR="007C6F79">
              <w:rPr>
                <w:rFonts w:ascii="Calibri" w:hAnsi="Calibri"/>
                <w:color w:val="000000"/>
                <w:sz w:val="20"/>
                <w:szCs w:val="20"/>
              </w:rPr>
              <w:t>“</w:t>
            </w:r>
            <w:r w:rsidR="00AA5D16" w:rsidRPr="00AA5D16">
              <w:rPr>
                <w:rFonts w:ascii="Calibri" w:hAnsi="Calibri"/>
                <w:color w:val="000000"/>
                <w:sz w:val="20"/>
                <w:szCs w:val="20"/>
              </w:rPr>
              <w:t>20180514_LED_r1.MDB</w:t>
            </w:r>
            <w:r w:rsidR="007C6F79" w:rsidRPr="005677A6">
              <w:rPr>
                <w:rFonts w:ascii="Calibri" w:hAnsi="Calibri"/>
                <w:color w:val="000000"/>
                <w:sz w:val="20"/>
                <w:szCs w:val="20"/>
              </w:rPr>
              <w:t>”</w:t>
            </w:r>
            <w:r w:rsidR="007C6F79">
              <w:rPr>
                <w:rFonts w:ascii="Calibri" w:hAnsi="Calibri"/>
                <w:color w:val="000000"/>
                <w:sz w:val="20"/>
                <w:szCs w:val="20"/>
              </w:rPr>
              <w:t xml:space="preserve">. </w:t>
            </w:r>
          </w:p>
          <w:p w14:paraId="1272D5A5" w14:textId="77777777" w:rsidR="009412A4" w:rsidRDefault="009412A4" w:rsidP="009412A4">
            <w:pPr>
              <w:tabs>
                <w:tab w:val="right" w:pos="6732"/>
              </w:tabs>
              <w:rPr>
                <w:rFonts w:cs="Arial"/>
                <w:sz w:val="20"/>
                <w:szCs w:val="20"/>
              </w:rPr>
            </w:pPr>
          </w:p>
        </w:tc>
      </w:tr>
      <w:tr w:rsidR="009412A4" w14:paraId="77EAA7DA" w14:textId="77777777" w:rsidTr="009412A4">
        <w:trPr>
          <w:cantSplit/>
        </w:trPr>
        <w:tc>
          <w:tcPr>
            <w:tcW w:w="1440" w:type="dxa"/>
          </w:tcPr>
          <w:p w14:paraId="34FA28C9" w14:textId="77777777" w:rsidR="009412A4" w:rsidRPr="00822B6F" w:rsidRDefault="009412A4" w:rsidP="009412A4">
            <w:pPr>
              <w:jc w:val="right"/>
              <w:rPr>
                <w:sz w:val="20"/>
                <w:szCs w:val="20"/>
              </w:rPr>
            </w:pPr>
          </w:p>
        </w:tc>
        <w:tc>
          <w:tcPr>
            <w:tcW w:w="7910" w:type="dxa"/>
          </w:tcPr>
          <w:p w14:paraId="7BFB6F52" w14:textId="37E288A9" w:rsidR="009412A4" w:rsidRPr="008E71C1" w:rsidRDefault="009412A4" w:rsidP="005845FB">
            <w:pPr>
              <w:rPr>
                <w:rFonts w:ascii="Calibri" w:hAnsi="Calibri"/>
                <w:color w:val="000000"/>
                <w:sz w:val="20"/>
                <w:szCs w:val="20"/>
              </w:rPr>
            </w:pPr>
            <w:r w:rsidRPr="008E71C1">
              <w:rPr>
                <w:rFonts w:ascii="Calibri" w:hAnsi="Calibri"/>
                <w:color w:val="000000"/>
                <w:sz w:val="20"/>
                <w:szCs w:val="20"/>
              </w:rPr>
              <w:t xml:space="preserve">See Excel </w:t>
            </w:r>
            <w:r w:rsidR="005845FB">
              <w:rPr>
                <w:rFonts w:ascii="Calibri" w:hAnsi="Calibri"/>
                <w:color w:val="000000"/>
                <w:sz w:val="20"/>
                <w:szCs w:val="20"/>
              </w:rPr>
              <w:t xml:space="preserve">Ex-ante data tables </w:t>
            </w:r>
            <w:r w:rsidRPr="008E71C1">
              <w:rPr>
                <w:rFonts w:ascii="Calibri" w:hAnsi="Calibri"/>
                <w:color w:val="000000"/>
                <w:sz w:val="20"/>
                <w:szCs w:val="20"/>
              </w:rPr>
              <w:t xml:space="preserve">entitled </w:t>
            </w:r>
            <w:r w:rsidR="007C6F79">
              <w:rPr>
                <w:rFonts w:ascii="Calibri" w:hAnsi="Calibri"/>
                <w:color w:val="000000"/>
                <w:sz w:val="20"/>
                <w:szCs w:val="20"/>
              </w:rPr>
              <w:t>“</w:t>
            </w:r>
            <w:r w:rsidR="00AA5D16" w:rsidRPr="00AA5D16">
              <w:rPr>
                <w:rFonts w:ascii="Calibri" w:hAnsi="Calibri"/>
                <w:color w:val="000000"/>
                <w:sz w:val="20"/>
                <w:szCs w:val="20"/>
              </w:rPr>
              <w:t>20180514_LED_r1.MDB</w:t>
            </w:r>
            <w:r w:rsidR="007C6F79" w:rsidRPr="005677A6">
              <w:rPr>
                <w:rFonts w:ascii="Calibri" w:hAnsi="Calibri"/>
                <w:color w:val="000000"/>
                <w:sz w:val="20"/>
                <w:szCs w:val="20"/>
              </w:rPr>
              <w:t>”</w:t>
            </w:r>
            <w:r w:rsidR="007C6F79">
              <w:rPr>
                <w:rFonts w:ascii="Calibri" w:hAnsi="Calibri"/>
                <w:color w:val="000000"/>
                <w:sz w:val="20"/>
                <w:szCs w:val="20"/>
              </w:rPr>
              <w:t xml:space="preserve"> </w:t>
            </w:r>
            <w:r w:rsidRPr="008E71C1">
              <w:rPr>
                <w:rFonts w:ascii="Calibri" w:hAnsi="Calibri"/>
                <w:color w:val="000000"/>
                <w:sz w:val="20"/>
                <w:szCs w:val="20"/>
              </w:rPr>
              <w:t>for SDG&amp;E sourced cost documentation.</w:t>
            </w:r>
          </w:p>
        </w:tc>
      </w:tr>
    </w:tbl>
    <w:p w14:paraId="00365B32" w14:textId="77777777" w:rsidR="001B5D6C" w:rsidRDefault="001B5D6C" w:rsidP="00FE636E">
      <w:pPr>
        <w:spacing w:after="200" w:line="276" w:lineRule="auto"/>
      </w:pPr>
    </w:p>
    <w:sectPr w:rsidR="001B5D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274F4" w14:textId="77777777" w:rsidR="00E73B83" w:rsidRDefault="00E73B83" w:rsidP="00FE520B">
      <w:r>
        <w:separator/>
      </w:r>
    </w:p>
  </w:endnote>
  <w:endnote w:type="continuationSeparator" w:id="0">
    <w:p w14:paraId="4A65D690" w14:textId="77777777" w:rsidR="00E73B83" w:rsidRDefault="00E73B83"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331BD" w14:textId="10F19338" w:rsidR="00857CB2" w:rsidRPr="00241A1F" w:rsidRDefault="00857CB2" w:rsidP="00241A1F">
    <w:pPr>
      <w:pStyle w:val="Footer"/>
      <w:rPr>
        <w:rFonts w:cstheme="minorHAnsi"/>
        <w:b/>
        <w:szCs w:val="22"/>
      </w:rPr>
    </w:pPr>
    <w:r>
      <w:rPr>
        <w:b/>
      </w:rPr>
      <w:t>Workpaper WPSDGENRLG010</w:t>
    </w:r>
    <w:r w:rsidR="00915C00">
      <w:rPr>
        <w:b/>
      </w:rPr>
      <w:t>7</w:t>
    </w:r>
    <w:r>
      <w:rPr>
        <w:b/>
      </w:rPr>
      <w:t xml:space="preserve">, Revision </w:t>
    </w:r>
    <w:r w:rsidR="00915C00">
      <w:rPr>
        <w:b/>
      </w:rPr>
      <w:t>0</w:t>
    </w:r>
    <w:r w:rsidR="00EB3E07">
      <w:rPr>
        <w:b/>
      </w:rPr>
      <w:t>.1</w:t>
    </w:r>
    <w:r>
      <w:rPr>
        <w:b/>
      </w:rPr>
      <w:tab/>
    </w:r>
    <w:r>
      <w:rPr>
        <w:b/>
      </w:rPr>
      <w:tab/>
    </w:r>
    <w:r w:rsidR="00EB3E07">
      <w:rPr>
        <w:b/>
      </w:rPr>
      <w:t>May 15</w:t>
    </w:r>
    <w:r>
      <w:rPr>
        <w:rFonts w:cstheme="minorHAnsi"/>
        <w:b/>
        <w:szCs w:val="22"/>
      </w:rPr>
      <w:t>, 2018</w:t>
    </w:r>
  </w:p>
  <w:p w14:paraId="4527F48E" w14:textId="48C1421E" w:rsidR="00857CB2" w:rsidRPr="009500DC" w:rsidRDefault="00857CB2"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987CFB">
      <w:rPr>
        <w:b/>
        <w:noProof/>
      </w:rPr>
      <w:t>5</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DAFF3" w14:textId="77777777" w:rsidR="00E73B83" w:rsidRDefault="00E73B83" w:rsidP="00FE520B">
      <w:r>
        <w:separator/>
      </w:r>
    </w:p>
  </w:footnote>
  <w:footnote w:type="continuationSeparator" w:id="0">
    <w:p w14:paraId="10414520" w14:textId="77777777" w:rsidR="00E73B83" w:rsidRDefault="00E73B8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188" w:hanging="288"/>
      </w:pPr>
      <w:rPr>
        <w:rFonts w:ascii="Wingdings" w:hAnsi="Wingdings" w:cs="Wingdings"/>
        <w:b w:val="0"/>
        <w:bCs w:val="0"/>
        <w:w w:val="99"/>
        <w:sz w:val="20"/>
        <w:szCs w:val="20"/>
      </w:rPr>
    </w:lvl>
    <w:lvl w:ilvl="1">
      <w:numFmt w:val="bullet"/>
      <w:lvlText w:val="•"/>
      <w:lvlJc w:val="left"/>
      <w:pPr>
        <w:ind w:left="1072" w:hanging="288"/>
      </w:pPr>
    </w:lvl>
    <w:lvl w:ilvl="2">
      <w:numFmt w:val="bullet"/>
      <w:lvlText w:val="•"/>
      <w:lvlJc w:val="left"/>
      <w:pPr>
        <w:ind w:left="1964" w:hanging="288"/>
      </w:pPr>
    </w:lvl>
    <w:lvl w:ilvl="3">
      <w:numFmt w:val="bullet"/>
      <w:lvlText w:val="•"/>
      <w:lvlJc w:val="left"/>
      <w:pPr>
        <w:ind w:left="2856" w:hanging="288"/>
      </w:pPr>
    </w:lvl>
    <w:lvl w:ilvl="4">
      <w:numFmt w:val="bullet"/>
      <w:lvlText w:val="•"/>
      <w:lvlJc w:val="left"/>
      <w:pPr>
        <w:ind w:left="3748" w:hanging="288"/>
      </w:pPr>
    </w:lvl>
    <w:lvl w:ilvl="5">
      <w:numFmt w:val="bullet"/>
      <w:lvlText w:val="•"/>
      <w:lvlJc w:val="left"/>
      <w:pPr>
        <w:ind w:left="4640" w:hanging="288"/>
      </w:pPr>
    </w:lvl>
    <w:lvl w:ilvl="6">
      <w:numFmt w:val="bullet"/>
      <w:lvlText w:val="•"/>
      <w:lvlJc w:val="left"/>
      <w:pPr>
        <w:ind w:left="5532" w:hanging="288"/>
      </w:pPr>
    </w:lvl>
    <w:lvl w:ilvl="7">
      <w:numFmt w:val="bullet"/>
      <w:lvlText w:val="•"/>
      <w:lvlJc w:val="left"/>
      <w:pPr>
        <w:ind w:left="6424" w:hanging="288"/>
      </w:pPr>
    </w:lvl>
    <w:lvl w:ilvl="8">
      <w:numFmt w:val="bullet"/>
      <w:lvlText w:val="•"/>
      <w:lvlJc w:val="left"/>
      <w:pPr>
        <w:ind w:left="7316" w:hanging="288"/>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D852A8"/>
    <w:multiLevelType w:val="hybridMultilevel"/>
    <w:tmpl w:val="0ACE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D3A56"/>
    <w:multiLevelType w:val="hybridMultilevel"/>
    <w:tmpl w:val="6A861B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3B614E7"/>
    <w:multiLevelType w:val="hybridMultilevel"/>
    <w:tmpl w:val="6DDCF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C2474D"/>
    <w:multiLevelType w:val="hybridMultilevel"/>
    <w:tmpl w:val="3C34F4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D108A1"/>
    <w:multiLevelType w:val="hybridMultilevel"/>
    <w:tmpl w:val="793C9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D056AC"/>
    <w:multiLevelType w:val="hybridMultilevel"/>
    <w:tmpl w:val="761EF3B4"/>
    <w:lvl w:ilvl="0" w:tplc="04090001">
      <w:numFmt w:val="bullet"/>
      <w:lvlText w:val=""/>
      <w:lvlJc w:val="left"/>
      <w:pPr>
        <w:ind w:left="360" w:hanging="360"/>
      </w:pPr>
      <w:rPr>
        <w:rFonts w:ascii="Symbol" w:eastAsia="Times New Roman"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D94C78"/>
    <w:multiLevelType w:val="hybridMultilevel"/>
    <w:tmpl w:val="65A03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6D2142"/>
    <w:multiLevelType w:val="hybridMultilevel"/>
    <w:tmpl w:val="1B8E8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10"/>
  </w:num>
  <w:num w:numId="5">
    <w:abstractNumId w:val="15"/>
  </w:num>
  <w:num w:numId="6">
    <w:abstractNumId w:val="6"/>
  </w:num>
  <w:num w:numId="7">
    <w:abstractNumId w:val="22"/>
  </w:num>
  <w:num w:numId="8">
    <w:abstractNumId w:val="17"/>
  </w:num>
  <w:num w:numId="9">
    <w:abstractNumId w:val="7"/>
  </w:num>
  <w:num w:numId="10">
    <w:abstractNumId w:val="18"/>
  </w:num>
  <w:num w:numId="11">
    <w:abstractNumId w:val="20"/>
  </w:num>
  <w:num w:numId="12">
    <w:abstractNumId w:val="14"/>
  </w:num>
  <w:num w:numId="13">
    <w:abstractNumId w:val="23"/>
  </w:num>
  <w:num w:numId="14">
    <w:abstractNumId w:val="13"/>
  </w:num>
  <w:num w:numId="15">
    <w:abstractNumId w:val="3"/>
  </w:num>
  <w:num w:numId="16">
    <w:abstractNumId w:val="0"/>
  </w:num>
  <w:num w:numId="17">
    <w:abstractNumId w:val="16"/>
  </w:num>
  <w:num w:numId="18">
    <w:abstractNumId w:val="12"/>
  </w:num>
  <w:num w:numId="19">
    <w:abstractNumId w:val="2"/>
  </w:num>
  <w:num w:numId="20">
    <w:abstractNumId w:val="21"/>
  </w:num>
  <w:num w:numId="21">
    <w:abstractNumId w:val="11"/>
  </w:num>
  <w:num w:numId="22">
    <w:abstractNumId w:val="8"/>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2DB8"/>
    <w:rsid w:val="00004D4E"/>
    <w:rsid w:val="000158AB"/>
    <w:rsid w:val="00023C32"/>
    <w:rsid w:val="00025A89"/>
    <w:rsid w:val="00031221"/>
    <w:rsid w:val="00031BA0"/>
    <w:rsid w:val="000342B8"/>
    <w:rsid w:val="00052743"/>
    <w:rsid w:val="00052CE4"/>
    <w:rsid w:val="000550D5"/>
    <w:rsid w:val="00060C58"/>
    <w:rsid w:val="00067315"/>
    <w:rsid w:val="000719BF"/>
    <w:rsid w:val="000861E5"/>
    <w:rsid w:val="000B1943"/>
    <w:rsid w:val="000C13AE"/>
    <w:rsid w:val="000E19CA"/>
    <w:rsid w:val="000E2CA6"/>
    <w:rsid w:val="000F6BA3"/>
    <w:rsid w:val="000F72EF"/>
    <w:rsid w:val="0010492D"/>
    <w:rsid w:val="001050B7"/>
    <w:rsid w:val="0012271D"/>
    <w:rsid w:val="00123B74"/>
    <w:rsid w:val="0013593E"/>
    <w:rsid w:val="00142D37"/>
    <w:rsid w:val="00143843"/>
    <w:rsid w:val="001649C3"/>
    <w:rsid w:val="001752E5"/>
    <w:rsid w:val="00194466"/>
    <w:rsid w:val="001A11C1"/>
    <w:rsid w:val="001A34A6"/>
    <w:rsid w:val="001A4875"/>
    <w:rsid w:val="001B08AC"/>
    <w:rsid w:val="001B1C8A"/>
    <w:rsid w:val="001B5D6C"/>
    <w:rsid w:val="001C2B6E"/>
    <w:rsid w:val="001C3663"/>
    <w:rsid w:val="001D0AB9"/>
    <w:rsid w:val="001D57D7"/>
    <w:rsid w:val="001D6A64"/>
    <w:rsid w:val="001E4006"/>
    <w:rsid w:val="001E5A14"/>
    <w:rsid w:val="00200310"/>
    <w:rsid w:val="00200B83"/>
    <w:rsid w:val="00204EFC"/>
    <w:rsid w:val="002061B9"/>
    <w:rsid w:val="002101B6"/>
    <w:rsid w:val="002143E4"/>
    <w:rsid w:val="00215828"/>
    <w:rsid w:val="00231DE1"/>
    <w:rsid w:val="00241A1F"/>
    <w:rsid w:val="00244447"/>
    <w:rsid w:val="00291B2B"/>
    <w:rsid w:val="00297005"/>
    <w:rsid w:val="002B6A7A"/>
    <w:rsid w:val="002C1030"/>
    <w:rsid w:val="002C15E6"/>
    <w:rsid w:val="002D7B3E"/>
    <w:rsid w:val="002E0948"/>
    <w:rsid w:val="002E1B50"/>
    <w:rsid w:val="002E24BE"/>
    <w:rsid w:val="002F3B0D"/>
    <w:rsid w:val="003136D0"/>
    <w:rsid w:val="00320E0B"/>
    <w:rsid w:val="00321813"/>
    <w:rsid w:val="00323C28"/>
    <w:rsid w:val="00323E6A"/>
    <w:rsid w:val="0032761E"/>
    <w:rsid w:val="00333005"/>
    <w:rsid w:val="00360CFA"/>
    <w:rsid w:val="003A0D2B"/>
    <w:rsid w:val="003A4277"/>
    <w:rsid w:val="003A7B4E"/>
    <w:rsid w:val="003B18D4"/>
    <w:rsid w:val="003B4AA8"/>
    <w:rsid w:val="003B5DCF"/>
    <w:rsid w:val="003C2EE4"/>
    <w:rsid w:val="003D1C21"/>
    <w:rsid w:val="003E0DC8"/>
    <w:rsid w:val="003E122A"/>
    <w:rsid w:val="003E3497"/>
    <w:rsid w:val="003E44AE"/>
    <w:rsid w:val="003E6E57"/>
    <w:rsid w:val="003E6FA5"/>
    <w:rsid w:val="003F056D"/>
    <w:rsid w:val="003F0A54"/>
    <w:rsid w:val="003F1F0D"/>
    <w:rsid w:val="00402B3D"/>
    <w:rsid w:val="00413EF4"/>
    <w:rsid w:val="00431763"/>
    <w:rsid w:val="0044686E"/>
    <w:rsid w:val="004519B4"/>
    <w:rsid w:val="00463A68"/>
    <w:rsid w:val="00467DB3"/>
    <w:rsid w:val="004A6215"/>
    <w:rsid w:val="004B2B21"/>
    <w:rsid w:val="004D0326"/>
    <w:rsid w:val="004D5D19"/>
    <w:rsid w:val="004E13B2"/>
    <w:rsid w:val="00506EF1"/>
    <w:rsid w:val="0052235C"/>
    <w:rsid w:val="005225B3"/>
    <w:rsid w:val="00532D27"/>
    <w:rsid w:val="005428E1"/>
    <w:rsid w:val="00555671"/>
    <w:rsid w:val="00556B27"/>
    <w:rsid w:val="005613FC"/>
    <w:rsid w:val="00567FEF"/>
    <w:rsid w:val="00572106"/>
    <w:rsid w:val="00580664"/>
    <w:rsid w:val="005845FB"/>
    <w:rsid w:val="0059117D"/>
    <w:rsid w:val="00591D85"/>
    <w:rsid w:val="0059663B"/>
    <w:rsid w:val="005B5614"/>
    <w:rsid w:val="005C1518"/>
    <w:rsid w:val="005C78DA"/>
    <w:rsid w:val="005E18A1"/>
    <w:rsid w:val="005E6FD6"/>
    <w:rsid w:val="005F0FB0"/>
    <w:rsid w:val="00636490"/>
    <w:rsid w:val="00650C31"/>
    <w:rsid w:val="00650F0D"/>
    <w:rsid w:val="006525B0"/>
    <w:rsid w:val="00653B2E"/>
    <w:rsid w:val="00653C4B"/>
    <w:rsid w:val="00666CDA"/>
    <w:rsid w:val="00670CC5"/>
    <w:rsid w:val="00674B3C"/>
    <w:rsid w:val="006759BB"/>
    <w:rsid w:val="006836D4"/>
    <w:rsid w:val="00684ABA"/>
    <w:rsid w:val="00685FEB"/>
    <w:rsid w:val="00687198"/>
    <w:rsid w:val="006875B3"/>
    <w:rsid w:val="00695478"/>
    <w:rsid w:val="006A0F17"/>
    <w:rsid w:val="006A3E63"/>
    <w:rsid w:val="006A6F4E"/>
    <w:rsid w:val="006B0D5C"/>
    <w:rsid w:val="006D03F9"/>
    <w:rsid w:val="006E41CF"/>
    <w:rsid w:val="00707736"/>
    <w:rsid w:val="00711B58"/>
    <w:rsid w:val="00721989"/>
    <w:rsid w:val="00727839"/>
    <w:rsid w:val="0073730F"/>
    <w:rsid w:val="00762D81"/>
    <w:rsid w:val="0076481A"/>
    <w:rsid w:val="00772C18"/>
    <w:rsid w:val="00785AC8"/>
    <w:rsid w:val="00786E32"/>
    <w:rsid w:val="00787D7C"/>
    <w:rsid w:val="00792928"/>
    <w:rsid w:val="00796174"/>
    <w:rsid w:val="00797B54"/>
    <w:rsid w:val="007B01E6"/>
    <w:rsid w:val="007C6F79"/>
    <w:rsid w:val="007D1F1E"/>
    <w:rsid w:val="007D3A21"/>
    <w:rsid w:val="0081391A"/>
    <w:rsid w:val="0081521B"/>
    <w:rsid w:val="0084251C"/>
    <w:rsid w:val="00856FA4"/>
    <w:rsid w:val="00857CB2"/>
    <w:rsid w:val="00862113"/>
    <w:rsid w:val="0086797D"/>
    <w:rsid w:val="008724D6"/>
    <w:rsid w:val="008775D7"/>
    <w:rsid w:val="00884B9C"/>
    <w:rsid w:val="008A1557"/>
    <w:rsid w:val="008A1D1C"/>
    <w:rsid w:val="008A4224"/>
    <w:rsid w:val="008A5E4C"/>
    <w:rsid w:val="008C0014"/>
    <w:rsid w:val="008C2C8A"/>
    <w:rsid w:val="008D0B3C"/>
    <w:rsid w:val="008D2A13"/>
    <w:rsid w:val="008D3021"/>
    <w:rsid w:val="008D6DD8"/>
    <w:rsid w:val="008E0850"/>
    <w:rsid w:val="008E5CD5"/>
    <w:rsid w:val="008E71C1"/>
    <w:rsid w:val="00906857"/>
    <w:rsid w:val="00910D54"/>
    <w:rsid w:val="00915C00"/>
    <w:rsid w:val="00920B88"/>
    <w:rsid w:val="009269CE"/>
    <w:rsid w:val="0093045E"/>
    <w:rsid w:val="00932AA9"/>
    <w:rsid w:val="0093657B"/>
    <w:rsid w:val="009412A4"/>
    <w:rsid w:val="00950249"/>
    <w:rsid w:val="00957C01"/>
    <w:rsid w:val="00975C10"/>
    <w:rsid w:val="00986A83"/>
    <w:rsid w:val="0098739E"/>
    <w:rsid w:val="00987CFB"/>
    <w:rsid w:val="009C14CB"/>
    <w:rsid w:val="009C3F2D"/>
    <w:rsid w:val="009C490E"/>
    <w:rsid w:val="009C6AE8"/>
    <w:rsid w:val="009D06C6"/>
    <w:rsid w:val="009D7191"/>
    <w:rsid w:val="009F3770"/>
    <w:rsid w:val="00A051D9"/>
    <w:rsid w:val="00A1562F"/>
    <w:rsid w:val="00A3401B"/>
    <w:rsid w:val="00A61271"/>
    <w:rsid w:val="00A704B8"/>
    <w:rsid w:val="00A748CA"/>
    <w:rsid w:val="00A754A5"/>
    <w:rsid w:val="00A75EDC"/>
    <w:rsid w:val="00A77DE3"/>
    <w:rsid w:val="00A93EAD"/>
    <w:rsid w:val="00A94EF6"/>
    <w:rsid w:val="00AA43C4"/>
    <w:rsid w:val="00AA5D16"/>
    <w:rsid w:val="00AC0A50"/>
    <w:rsid w:val="00AD6895"/>
    <w:rsid w:val="00AE0C0E"/>
    <w:rsid w:val="00AF5B5B"/>
    <w:rsid w:val="00B1624B"/>
    <w:rsid w:val="00B471CC"/>
    <w:rsid w:val="00B47B58"/>
    <w:rsid w:val="00B57F32"/>
    <w:rsid w:val="00B61FCD"/>
    <w:rsid w:val="00B73002"/>
    <w:rsid w:val="00B75260"/>
    <w:rsid w:val="00B755EA"/>
    <w:rsid w:val="00B818B4"/>
    <w:rsid w:val="00B8452E"/>
    <w:rsid w:val="00B9234D"/>
    <w:rsid w:val="00B9551F"/>
    <w:rsid w:val="00BB2D80"/>
    <w:rsid w:val="00BC2681"/>
    <w:rsid w:val="00BC6454"/>
    <w:rsid w:val="00C048F4"/>
    <w:rsid w:val="00C06B9E"/>
    <w:rsid w:val="00C15F66"/>
    <w:rsid w:val="00C228B0"/>
    <w:rsid w:val="00C23CAB"/>
    <w:rsid w:val="00C24892"/>
    <w:rsid w:val="00C32902"/>
    <w:rsid w:val="00C3302E"/>
    <w:rsid w:val="00C412D8"/>
    <w:rsid w:val="00C414A6"/>
    <w:rsid w:val="00C44E5A"/>
    <w:rsid w:val="00C462C1"/>
    <w:rsid w:val="00C47AF7"/>
    <w:rsid w:val="00C54AC6"/>
    <w:rsid w:val="00C7215A"/>
    <w:rsid w:val="00C84781"/>
    <w:rsid w:val="00C96A4C"/>
    <w:rsid w:val="00CA48A0"/>
    <w:rsid w:val="00CB10BC"/>
    <w:rsid w:val="00CD0C03"/>
    <w:rsid w:val="00CD265D"/>
    <w:rsid w:val="00CF295D"/>
    <w:rsid w:val="00CF2ABA"/>
    <w:rsid w:val="00D00B40"/>
    <w:rsid w:val="00D00FCF"/>
    <w:rsid w:val="00D2389B"/>
    <w:rsid w:val="00D43C53"/>
    <w:rsid w:val="00D47033"/>
    <w:rsid w:val="00D60240"/>
    <w:rsid w:val="00D73723"/>
    <w:rsid w:val="00D80CD0"/>
    <w:rsid w:val="00DA5D17"/>
    <w:rsid w:val="00DB544A"/>
    <w:rsid w:val="00DB71F1"/>
    <w:rsid w:val="00DC7243"/>
    <w:rsid w:val="00DD59CC"/>
    <w:rsid w:val="00DE1C5D"/>
    <w:rsid w:val="00DE364E"/>
    <w:rsid w:val="00DE7873"/>
    <w:rsid w:val="00DF2D67"/>
    <w:rsid w:val="00E048EA"/>
    <w:rsid w:val="00E05871"/>
    <w:rsid w:val="00E05B9C"/>
    <w:rsid w:val="00E159C8"/>
    <w:rsid w:val="00E165FC"/>
    <w:rsid w:val="00E16D23"/>
    <w:rsid w:val="00E35D68"/>
    <w:rsid w:val="00E372B8"/>
    <w:rsid w:val="00E408A9"/>
    <w:rsid w:val="00E56CE7"/>
    <w:rsid w:val="00E6385A"/>
    <w:rsid w:val="00E64D74"/>
    <w:rsid w:val="00E65078"/>
    <w:rsid w:val="00E6631C"/>
    <w:rsid w:val="00E663DD"/>
    <w:rsid w:val="00E733C7"/>
    <w:rsid w:val="00E73B83"/>
    <w:rsid w:val="00E76853"/>
    <w:rsid w:val="00E84938"/>
    <w:rsid w:val="00E859F0"/>
    <w:rsid w:val="00EB3E07"/>
    <w:rsid w:val="00EC38B0"/>
    <w:rsid w:val="00ED3B34"/>
    <w:rsid w:val="00ED65C0"/>
    <w:rsid w:val="00EE38DA"/>
    <w:rsid w:val="00EE6CFE"/>
    <w:rsid w:val="00F10B81"/>
    <w:rsid w:val="00F117C6"/>
    <w:rsid w:val="00F20CD6"/>
    <w:rsid w:val="00F3064C"/>
    <w:rsid w:val="00F45A07"/>
    <w:rsid w:val="00F77C08"/>
    <w:rsid w:val="00F83F70"/>
    <w:rsid w:val="00F855DD"/>
    <w:rsid w:val="00F96BF5"/>
    <w:rsid w:val="00FA2278"/>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2B8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8D4"/>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Body1">
    <w:name w:val="Body1"/>
    <w:basedOn w:val="Normal"/>
    <w:qFormat/>
    <w:rsid w:val="00F96BF5"/>
    <w:pPr>
      <w:spacing w:after="200" w:line="276" w:lineRule="auto"/>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34138">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540749283">
      <w:bodyDiv w:val="1"/>
      <w:marLeft w:val="0"/>
      <w:marRight w:val="0"/>
      <w:marTop w:val="0"/>
      <w:marBottom w:val="0"/>
      <w:divBdr>
        <w:top w:val="none" w:sz="0" w:space="0" w:color="auto"/>
        <w:left w:val="none" w:sz="0" w:space="0" w:color="auto"/>
        <w:bottom w:val="none" w:sz="0" w:space="0" w:color="auto"/>
        <w:right w:val="none" w:sz="0" w:space="0" w:color="auto"/>
      </w:divBdr>
    </w:div>
    <w:div w:id="622078384">
      <w:bodyDiv w:val="1"/>
      <w:marLeft w:val="0"/>
      <w:marRight w:val="0"/>
      <w:marTop w:val="0"/>
      <w:marBottom w:val="0"/>
      <w:divBdr>
        <w:top w:val="none" w:sz="0" w:space="0" w:color="auto"/>
        <w:left w:val="none" w:sz="0" w:space="0" w:color="auto"/>
        <w:bottom w:val="none" w:sz="0" w:space="0" w:color="auto"/>
        <w:right w:val="none" w:sz="0" w:space="0" w:color="auto"/>
      </w:divBdr>
    </w:div>
    <w:div w:id="802427604">
      <w:bodyDiv w:val="1"/>
      <w:marLeft w:val="0"/>
      <w:marRight w:val="0"/>
      <w:marTop w:val="0"/>
      <w:marBottom w:val="0"/>
      <w:divBdr>
        <w:top w:val="none" w:sz="0" w:space="0" w:color="auto"/>
        <w:left w:val="none" w:sz="0" w:space="0" w:color="auto"/>
        <w:bottom w:val="none" w:sz="0" w:space="0" w:color="auto"/>
        <w:right w:val="none" w:sz="0" w:space="0" w:color="auto"/>
      </w:divBdr>
    </w:div>
    <w:div w:id="1214924601">
      <w:bodyDiv w:val="1"/>
      <w:marLeft w:val="0"/>
      <w:marRight w:val="0"/>
      <w:marTop w:val="0"/>
      <w:marBottom w:val="0"/>
      <w:divBdr>
        <w:top w:val="none" w:sz="0" w:space="0" w:color="auto"/>
        <w:left w:val="none" w:sz="0" w:space="0" w:color="auto"/>
        <w:bottom w:val="none" w:sz="0" w:space="0" w:color="auto"/>
        <w:right w:val="none" w:sz="0" w:space="0" w:color="auto"/>
      </w:divBdr>
    </w:div>
    <w:div w:id="1299453809">
      <w:bodyDiv w:val="1"/>
      <w:marLeft w:val="0"/>
      <w:marRight w:val="0"/>
      <w:marTop w:val="0"/>
      <w:marBottom w:val="0"/>
      <w:divBdr>
        <w:top w:val="none" w:sz="0" w:space="0" w:color="auto"/>
        <w:left w:val="none" w:sz="0" w:space="0" w:color="auto"/>
        <w:bottom w:val="none" w:sz="0" w:space="0" w:color="auto"/>
        <w:right w:val="none" w:sz="0" w:space="0" w:color="auto"/>
      </w:divBdr>
    </w:div>
    <w:div w:id="1475834088">
      <w:bodyDiv w:val="1"/>
      <w:marLeft w:val="0"/>
      <w:marRight w:val="0"/>
      <w:marTop w:val="0"/>
      <w:marBottom w:val="0"/>
      <w:divBdr>
        <w:top w:val="none" w:sz="0" w:space="0" w:color="auto"/>
        <w:left w:val="none" w:sz="0" w:space="0" w:color="auto"/>
        <w:bottom w:val="none" w:sz="0" w:space="0" w:color="auto"/>
        <w:right w:val="none" w:sz="0" w:space="0" w:color="auto"/>
      </w:divBdr>
    </w:div>
    <w:div w:id="1480685654">
      <w:bodyDiv w:val="1"/>
      <w:marLeft w:val="0"/>
      <w:marRight w:val="0"/>
      <w:marTop w:val="0"/>
      <w:marBottom w:val="0"/>
      <w:divBdr>
        <w:top w:val="none" w:sz="0" w:space="0" w:color="auto"/>
        <w:left w:val="none" w:sz="0" w:space="0" w:color="auto"/>
        <w:bottom w:val="none" w:sz="0" w:space="0" w:color="auto"/>
        <w:right w:val="none" w:sz="0" w:space="0" w:color="auto"/>
      </w:divBdr>
    </w:div>
    <w:div w:id="1862669191">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213556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0653F8-DC84-46C7-8412-CD8CBD69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2018-05-15T21:34:00Z</dcterms:created>
  <dcterms:modified xsi:type="dcterms:W3CDTF">2018-05-15T22:07:00Z</dcterms:modified>
</cp:coreProperties>
</file>